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АДМИНИСТРАЦИЯ</w:t>
      </w:r>
    </w:p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ТЕЙКОВСКОГО МУНИЦИПАЛЬНОГО РАЙОНА</w:t>
      </w:r>
    </w:p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ИВАНОВСКОЙ ОБЛАСТИ</w:t>
      </w:r>
    </w:p>
    <w:p w:rsidR="00CA3C97" w:rsidRPr="008A494E" w:rsidRDefault="00CA3C97" w:rsidP="008A494E">
      <w:pPr>
        <w:pStyle w:val="a3"/>
        <w:ind w:firstLine="0"/>
        <w:rPr>
          <w:sz w:val="24"/>
          <w:szCs w:val="24"/>
        </w:rPr>
      </w:pPr>
      <w:r w:rsidRPr="008A494E">
        <w:rPr>
          <w:sz w:val="24"/>
          <w:szCs w:val="24"/>
        </w:rPr>
        <w:t>_____________________________________________________________________________</w:t>
      </w:r>
    </w:p>
    <w:p w:rsidR="00CA3C97" w:rsidRPr="008A494E" w:rsidRDefault="00CA3C97" w:rsidP="008A494E">
      <w:pPr>
        <w:pStyle w:val="a3"/>
        <w:ind w:firstLine="0"/>
        <w:rPr>
          <w:sz w:val="24"/>
          <w:szCs w:val="24"/>
        </w:rPr>
      </w:pPr>
    </w:p>
    <w:p w:rsidR="00CA3C97" w:rsidRPr="008A494E" w:rsidRDefault="00CA3C97" w:rsidP="008A494E">
      <w:pPr>
        <w:pStyle w:val="a3"/>
        <w:ind w:firstLine="0"/>
        <w:jc w:val="center"/>
        <w:rPr>
          <w:sz w:val="24"/>
          <w:szCs w:val="24"/>
        </w:rPr>
      </w:pPr>
    </w:p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П О С Т А Н О В Л Е Н И Е</w:t>
      </w:r>
    </w:p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</w:p>
    <w:p w:rsidR="00CA3C97" w:rsidRPr="008A494E" w:rsidRDefault="00CA3C97" w:rsidP="008A494E">
      <w:pPr>
        <w:pStyle w:val="a3"/>
        <w:ind w:firstLine="0"/>
        <w:jc w:val="center"/>
        <w:rPr>
          <w:sz w:val="24"/>
          <w:szCs w:val="24"/>
        </w:rPr>
      </w:pPr>
      <w:r w:rsidRPr="008A494E">
        <w:rPr>
          <w:sz w:val="24"/>
          <w:szCs w:val="24"/>
        </w:rPr>
        <w:t xml:space="preserve">от </w:t>
      </w:r>
      <w:r w:rsidR="004F24E4" w:rsidRPr="008A494E">
        <w:rPr>
          <w:sz w:val="24"/>
          <w:szCs w:val="24"/>
        </w:rPr>
        <w:t>23.12.2022 № 467</w:t>
      </w:r>
    </w:p>
    <w:p w:rsidR="00CA3C97" w:rsidRPr="008A494E" w:rsidRDefault="00CA3C97" w:rsidP="008A494E">
      <w:pPr>
        <w:pStyle w:val="a3"/>
        <w:ind w:firstLine="0"/>
        <w:jc w:val="center"/>
        <w:rPr>
          <w:sz w:val="24"/>
          <w:szCs w:val="24"/>
        </w:rPr>
      </w:pPr>
      <w:r w:rsidRPr="008A494E">
        <w:rPr>
          <w:sz w:val="24"/>
          <w:szCs w:val="24"/>
        </w:rPr>
        <w:t>г. Тейково</w:t>
      </w:r>
    </w:p>
    <w:p w:rsidR="00CA3C97" w:rsidRPr="008A494E" w:rsidRDefault="00CA3C97" w:rsidP="008A494E">
      <w:pPr>
        <w:pStyle w:val="a3"/>
        <w:ind w:firstLine="0"/>
        <w:jc w:val="center"/>
        <w:rPr>
          <w:sz w:val="24"/>
          <w:szCs w:val="24"/>
        </w:rPr>
      </w:pPr>
    </w:p>
    <w:p w:rsidR="00CA3C97" w:rsidRPr="008A494E" w:rsidRDefault="00CA3C97" w:rsidP="008A494E">
      <w:pPr>
        <w:pStyle w:val="a3"/>
        <w:ind w:firstLine="0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О внесении изменений в постановление администрации Тейковского муниципального района от 30.03.2020 г. № 85 «Об утверждении порядка составления и утверждения плана</w:t>
      </w:r>
      <w:r w:rsidR="00077168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финансово-хозяйственной деятельности муниципальных бюджетных учреждений Тейковского муниципального района Ивановской области»</w:t>
      </w:r>
    </w:p>
    <w:p w:rsidR="00CA3C97" w:rsidRPr="008A494E" w:rsidRDefault="00CA3C97" w:rsidP="008A49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В соответствии с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администрация Тейковского муниципального района</w:t>
      </w:r>
    </w:p>
    <w:p w:rsidR="00CA3C97" w:rsidRPr="008A494E" w:rsidRDefault="00CA3C97" w:rsidP="008A494E">
      <w:pPr>
        <w:pStyle w:val="a3"/>
        <w:rPr>
          <w:sz w:val="24"/>
          <w:szCs w:val="24"/>
        </w:rPr>
      </w:pPr>
    </w:p>
    <w:p w:rsidR="00CA3C97" w:rsidRPr="008A494E" w:rsidRDefault="00CA3C97" w:rsidP="008A494E">
      <w:pPr>
        <w:pStyle w:val="a3"/>
        <w:jc w:val="center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П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О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С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Т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А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Н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О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В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Л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Я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Е</w:t>
      </w:r>
      <w:r w:rsidR="008A494E" w:rsidRPr="008A494E">
        <w:rPr>
          <w:b/>
          <w:sz w:val="24"/>
          <w:szCs w:val="24"/>
        </w:rPr>
        <w:t xml:space="preserve"> </w:t>
      </w:r>
      <w:r w:rsidRPr="008A494E">
        <w:rPr>
          <w:b/>
          <w:sz w:val="24"/>
          <w:szCs w:val="24"/>
        </w:rPr>
        <w:t>Т:</w:t>
      </w:r>
    </w:p>
    <w:p w:rsidR="00CA3C97" w:rsidRPr="008A494E" w:rsidRDefault="00CA3C97" w:rsidP="008A494E">
      <w:pPr>
        <w:pStyle w:val="a3"/>
        <w:ind w:firstLine="709"/>
        <w:jc w:val="center"/>
        <w:rPr>
          <w:sz w:val="24"/>
          <w:szCs w:val="24"/>
        </w:rPr>
      </w:pPr>
    </w:p>
    <w:p w:rsidR="00CA3C97" w:rsidRPr="008A494E" w:rsidRDefault="00CA3C97" w:rsidP="008A494E">
      <w:pPr>
        <w:pStyle w:val="a3"/>
        <w:ind w:firstLine="709"/>
        <w:rPr>
          <w:sz w:val="24"/>
          <w:szCs w:val="24"/>
        </w:rPr>
      </w:pPr>
      <w:r w:rsidRPr="008A494E">
        <w:rPr>
          <w:sz w:val="24"/>
          <w:szCs w:val="24"/>
        </w:rPr>
        <w:t>1. Внести изменения в постановление администрации Тейковского муниципального района от 30.03.2020 № 85</w:t>
      </w:r>
      <w:r w:rsidR="00077168" w:rsidRPr="008A494E">
        <w:rPr>
          <w:sz w:val="24"/>
          <w:szCs w:val="24"/>
        </w:rPr>
        <w:t xml:space="preserve"> </w:t>
      </w:r>
      <w:r w:rsidRPr="008A494E">
        <w:rPr>
          <w:sz w:val="24"/>
          <w:szCs w:val="24"/>
        </w:rPr>
        <w:t>«Об утверждении</w:t>
      </w:r>
      <w:r w:rsidR="00077168" w:rsidRPr="008A494E">
        <w:rPr>
          <w:sz w:val="24"/>
          <w:szCs w:val="24"/>
        </w:rPr>
        <w:t xml:space="preserve"> </w:t>
      </w:r>
      <w:r w:rsidRPr="008A494E">
        <w:rPr>
          <w:sz w:val="24"/>
          <w:szCs w:val="24"/>
        </w:rPr>
        <w:t>порядка</w:t>
      </w:r>
      <w:r w:rsidR="00077168" w:rsidRPr="008A494E">
        <w:rPr>
          <w:sz w:val="24"/>
          <w:szCs w:val="24"/>
        </w:rPr>
        <w:t xml:space="preserve"> </w:t>
      </w:r>
      <w:r w:rsidRPr="008A494E">
        <w:rPr>
          <w:sz w:val="24"/>
          <w:szCs w:val="24"/>
        </w:rPr>
        <w:t xml:space="preserve">составления и утверждения плана финансово-хозяйственной деятельности </w:t>
      </w:r>
      <w:r w:rsidR="008A494E" w:rsidRPr="008A494E">
        <w:rPr>
          <w:sz w:val="24"/>
          <w:szCs w:val="24"/>
        </w:rPr>
        <w:t>муниципальных бюджетных</w:t>
      </w:r>
      <w:r w:rsidRPr="008A494E">
        <w:rPr>
          <w:sz w:val="24"/>
          <w:szCs w:val="24"/>
        </w:rPr>
        <w:t xml:space="preserve"> учреждений Тейковского муниципального района Ивановской области» следующие изменения:</w:t>
      </w:r>
    </w:p>
    <w:p w:rsidR="00CA3C97" w:rsidRPr="008A494E" w:rsidRDefault="00CA3C97" w:rsidP="008A4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8A494E">
        <w:rPr>
          <w:rFonts w:ascii="Times New Roman" w:hAnsi="Times New Roman"/>
          <w:sz w:val="24"/>
          <w:szCs w:val="24"/>
        </w:rPr>
        <w:t xml:space="preserve">в приложении к постановлению: </w:t>
      </w:r>
    </w:p>
    <w:p w:rsidR="00CA3C97" w:rsidRPr="008A494E" w:rsidRDefault="00CA3C97" w:rsidP="008A494E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Пункт 1.2. изложить в следующей редакции: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«1.2. План составляется Учреждением на очередной финансовый год в случае, если решение Совета Тейковского муниципального района о  бюджете Тейковского муниципального района утверждается на один финансовый год, либо на очередной финансовый год и плановый период, если решение Совета Тейковского муниципального района о  бюджете Тейковского муниципального района утверждается на очередной финансовый год и плановый период и действует в течение срока действия решения</w:t>
      </w:r>
      <w:r w:rsidR="00CB0CB5" w:rsidRPr="008A494E">
        <w:t xml:space="preserve"> </w:t>
      </w:r>
      <w:r w:rsidRPr="008A494E">
        <w:t>Совета Тейковского муниципального района о  бюджете Тейковского муниципального района.</w:t>
      </w:r>
    </w:p>
    <w:p w:rsidR="00CA3C97" w:rsidRPr="008A494E" w:rsidRDefault="00CA3C97" w:rsidP="008A4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4E">
        <w:rPr>
          <w:rFonts w:ascii="Times New Roman" w:hAnsi="Times New Roman" w:cs="Times New Roman"/>
          <w:sz w:val="24"/>
          <w:szCs w:val="24"/>
        </w:rPr>
        <w:t xml:space="preserve">          План вновь созданного учреждения составляется на текущий финансовый год и плановый период.»;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1.2. Пункт 2.5. изложить в следующей редакции: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«План составляется по форме согласно </w:t>
      </w:r>
      <w:proofErr w:type="gramStart"/>
      <w:r w:rsidRPr="008A494E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к настоящему порядку и на основании обоснований (расчетов) плановых показателей поступлений и выплат, требования к формированию которых установлены в разделе 4 настоящего Порядка.»;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1.3. Пункт 2.6. изложить в следующей редакции: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«2.6. Учреждение составляет план при формировании проекта бюджета Тейковского муниципального района, с учетом планируемых объемов: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- субсидий на финансовое обеспечение выполнения муниципального задания;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- субсидий, предоставляемых в соответствии с абзацем вторым пункта 1 статьи 78.1 Бюджетного кодекса Российской Федерации и целей их предоставления;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субсидия на осуществление капитальных вложений);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lastRenderedPageBreak/>
        <w:t xml:space="preserve">- грантов, в том числе в форме субсидий, предоставляемых из бюджетов бюджетной системы Российской Федерации (далее – грант);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-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- доходов от иной приносящей доход деятельности, предусмотренной уставом Учреждения.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- расходов, связанных с осуществлением деятельности, предусмотренной уставом учреждения, включая выплаты по исполнению принятых учреждением в предшествующих отчетных периодах обязательств.   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Суммы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Учреждение рассчитывает исходя из планируемого объема оказания услуг (выполнения работ) и планируемой стоимости их реализации. </w:t>
      </w:r>
    </w:p>
    <w:p w:rsidR="00CA3C97" w:rsidRPr="008A494E" w:rsidRDefault="00CA3C97" w:rsidP="008A49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94E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в срок, не превышающий пятнадцати рабочих дней со дня доведения до учреждения Учредителем, информации о планируемых к предоставлению </w:t>
      </w:r>
      <w:proofErr w:type="gramStart"/>
      <w:r w:rsidRPr="008A494E">
        <w:rPr>
          <w:rFonts w:ascii="Times New Roman" w:hAnsi="Times New Roman" w:cs="Times New Roman"/>
          <w:color w:val="000000"/>
          <w:sz w:val="24"/>
          <w:szCs w:val="24"/>
        </w:rPr>
        <w:t>из  бюджета</w:t>
      </w:r>
      <w:proofErr w:type="gramEnd"/>
      <w:r w:rsidR="00077168" w:rsidRPr="008A4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94E">
        <w:rPr>
          <w:rFonts w:ascii="Times New Roman" w:hAnsi="Times New Roman" w:cs="Times New Roman"/>
          <w:color w:val="000000"/>
          <w:sz w:val="24"/>
          <w:szCs w:val="24"/>
        </w:rPr>
        <w:t>района объемах субсидий, осуществляет формирование Плана на основании обоснований (расчетов) плановых показателей, используемых при составлении Плана, и информации, доведенной органом - учредителем.</w:t>
      </w:r>
    </w:p>
    <w:p w:rsidR="00CA3C97" w:rsidRPr="008A494E" w:rsidRDefault="00CA3C97" w:rsidP="008A49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94E">
        <w:rPr>
          <w:rFonts w:ascii="Times New Roman" w:hAnsi="Times New Roman" w:cs="Times New Roman"/>
          <w:color w:val="000000"/>
          <w:sz w:val="24"/>
          <w:szCs w:val="24"/>
        </w:rPr>
        <w:t>План, а также прилагаемые к нему обоснования (расчеты) плановых показателей, формируемые при составлении Плана, подписываются уполномоченным лицом учреждения.»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1.4. Пункт 2.7. изложить в следующей редакции: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«План подлежит рассмотрению, согласованию и принятию в соответствии с Порядком, но не позднее десяти рабочих дней после заключения</w:t>
      </w:r>
      <w:r w:rsidR="00077168" w:rsidRPr="008A494E">
        <w:t xml:space="preserve"> </w:t>
      </w:r>
      <w:r w:rsidRPr="008A494E">
        <w:t>соглашений о предоставлении субсидий на очередной финансовый год и плановый период.»;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1.5. В пункте 2.8.: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1.5.1. </w:t>
      </w:r>
      <w:proofErr w:type="gramStart"/>
      <w:r w:rsidRPr="008A494E">
        <w:t>подпункт</w:t>
      </w:r>
      <w:proofErr w:type="gramEnd"/>
      <w:r w:rsidRPr="008A494E">
        <w:t xml:space="preserve"> а) изложить в следующей редакции: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«а) планируемых поступлений: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от доходов - по коду аналитической группы подвида доходов бюджетов классификации доходов бюджетов;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от возврата выплат, произведенных Учреждением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от возврата средств, ранее размещенных на депозитах, - по коду аналитической группы вида источников финансирования дефицитов бюджетов классификации источников финансирования дефицитов бюджетов.»;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1.5.2. подпункт б) дополнить абзацем следующего содержания: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бюджетов.»;</w:t>
      </w:r>
    </w:p>
    <w:p w:rsidR="00CA3C97" w:rsidRPr="008A494E" w:rsidRDefault="00CA3C97" w:rsidP="008A4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94E">
        <w:rPr>
          <w:rFonts w:ascii="Times New Roman" w:hAnsi="Times New Roman" w:cs="Times New Roman"/>
          <w:sz w:val="24"/>
          <w:szCs w:val="24"/>
        </w:rPr>
        <w:t>1.6. Пункт 2.10. дополнить абзацем следующего содержания: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года.»;</w:t>
      </w:r>
    </w:p>
    <w:p w:rsidR="00241E92" w:rsidRPr="008A494E" w:rsidRDefault="00241E92" w:rsidP="008A494E">
      <w:pPr>
        <w:pStyle w:val="a3"/>
        <w:ind w:firstLine="709"/>
        <w:rPr>
          <w:sz w:val="24"/>
          <w:szCs w:val="24"/>
        </w:rPr>
      </w:pPr>
      <w:r w:rsidRPr="008A494E">
        <w:rPr>
          <w:sz w:val="24"/>
          <w:szCs w:val="24"/>
        </w:rPr>
        <w:lastRenderedPageBreak/>
        <w:t>1.7. Пункт 3. Сроки и порядок утверждения Плана изложить в следующей редакции:</w:t>
      </w:r>
    </w:p>
    <w:p w:rsidR="00241E92" w:rsidRPr="008A494E" w:rsidRDefault="00241E92" w:rsidP="008A494E">
      <w:pPr>
        <w:pStyle w:val="a3"/>
        <w:ind w:firstLine="709"/>
        <w:rPr>
          <w:sz w:val="24"/>
          <w:szCs w:val="24"/>
        </w:rPr>
      </w:pPr>
      <w:r w:rsidRPr="008A494E">
        <w:rPr>
          <w:sz w:val="24"/>
          <w:szCs w:val="24"/>
        </w:rPr>
        <w:t>«3. Сроки и порядок утверждения Плана</w:t>
      </w:r>
    </w:p>
    <w:p w:rsidR="00241E92" w:rsidRPr="008A494E" w:rsidRDefault="00241E92" w:rsidP="008A494E">
      <w:pPr>
        <w:spacing w:after="0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3.1. Утверждение Плана осуществляется после принятия решения о бюджете Тейковского муниципального района на очередной финансовый год (очередной финансовый год и плановый период), но не позднее начала очередного финансового года.</w:t>
      </w:r>
    </w:p>
    <w:p w:rsidR="00241E92" w:rsidRPr="008A494E" w:rsidRDefault="00241E92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3.2. План муниципального бюджетного учреждения утверждается органом, осуществляющим функции и полномочия Учредителя.</w:t>
      </w:r>
    </w:p>
    <w:p w:rsidR="00741C66" w:rsidRPr="008A494E" w:rsidRDefault="00741C66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3.3. Утвержденный План учреждения размещается на официальном сайте в информационно-телекоммуникационной сети «Интернет» для размещения информации о государственных и муниципальных учреждениях – </w:t>
      </w:r>
      <w:hyperlink r:id="rId5" w:history="1">
        <w:r w:rsidRPr="008A494E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8A494E">
          <w:rPr>
            <w:rStyle w:val="a7"/>
            <w:rFonts w:ascii="Times New Roman" w:hAnsi="Times New Roman"/>
            <w:sz w:val="24"/>
            <w:szCs w:val="24"/>
            <w:u w:val="none"/>
          </w:rPr>
          <w:t>.</w:t>
        </w:r>
        <w:r w:rsidRPr="008A494E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bus</w:t>
        </w:r>
        <w:r w:rsidRPr="008A494E">
          <w:rPr>
            <w:rStyle w:val="a7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A494E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proofErr w:type="spellEnd"/>
        <w:r w:rsidRPr="008A494E">
          <w:rPr>
            <w:rStyle w:val="a7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A494E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A494E">
        <w:rPr>
          <w:rFonts w:ascii="Times New Roman" w:hAnsi="Times New Roman"/>
          <w:sz w:val="24"/>
          <w:szCs w:val="24"/>
        </w:rPr>
        <w:t xml:space="preserve"> в течение пяти рабочих дней со дня утверждения Плана». </w:t>
      </w:r>
    </w:p>
    <w:p w:rsidR="00CA3C97" w:rsidRPr="008A494E" w:rsidRDefault="00241E92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1.8</w:t>
      </w:r>
      <w:r w:rsidR="00CA3C97" w:rsidRPr="008A494E">
        <w:rPr>
          <w:rFonts w:ascii="Times New Roman" w:hAnsi="Times New Roman"/>
          <w:sz w:val="24"/>
          <w:szCs w:val="24"/>
        </w:rPr>
        <w:t>. Пункт 4.2. дополнить абзацем следующего содержания: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отчетности»;</w:t>
      </w:r>
    </w:p>
    <w:p w:rsidR="00CA3C97" w:rsidRPr="008A494E" w:rsidRDefault="00241E92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1.9</w:t>
      </w:r>
      <w:r w:rsidR="00CA3C97" w:rsidRPr="008A494E">
        <w:rPr>
          <w:rFonts w:ascii="Times New Roman" w:hAnsi="Times New Roman"/>
          <w:sz w:val="24"/>
          <w:szCs w:val="24"/>
        </w:rPr>
        <w:t>. Пункт 4.3. дополнить абзацем следующего содержания: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«В случае изменений показателей поступлений в очередном финансовом году и в соответствующем году планового периода более чем на 20 процентов по сравнению с отчетным, Учредителю направляется информация о причинах указанных изменений.»;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</w:t>
      </w:r>
      <w:r w:rsidR="00241E92" w:rsidRPr="008A494E">
        <w:rPr>
          <w:rFonts w:ascii="Times New Roman" w:hAnsi="Times New Roman"/>
          <w:sz w:val="24"/>
          <w:szCs w:val="24"/>
        </w:rPr>
        <w:t>10</w:t>
      </w:r>
      <w:r w:rsidRPr="008A494E">
        <w:rPr>
          <w:rFonts w:ascii="Times New Roman" w:hAnsi="Times New Roman"/>
          <w:sz w:val="24"/>
          <w:szCs w:val="24"/>
        </w:rPr>
        <w:t>. Пункт 4.28. изложить в следующей редакции: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«4.28. Расчеты расходов на закупку товаров, работ, услуг должны соответствовать в части планируемых выплат: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 xml:space="preserve">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CA3C97" w:rsidRPr="008A494E" w:rsidRDefault="00CA3C97" w:rsidP="008A494E">
      <w:pPr>
        <w:pStyle w:val="Default"/>
        <w:ind w:firstLine="709"/>
        <w:jc w:val="both"/>
      </w:pPr>
      <w:r w:rsidRPr="008A494E">
        <w:t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Федеральным законом от 18 июля 2011 г. № 223-ФЗ «О закупках товаров, работ, услуг отдельными видами юридических лиц», а так же показателям закупок, которые согласно положениям пункта 4 Правил формирования плана закупки товаров (работ, услуг), утвержденных постановлением Правительства Российской Федерации от 17 сентября 2012 г. № 932 (Собрание законодательства Российской Федерации, 2012, № 39, ст. 5272; 2020,№ 1, ст. 92), не включаются в план закупок.».</w:t>
      </w:r>
    </w:p>
    <w:p w:rsidR="00CA3C97" w:rsidRPr="008A494E" w:rsidRDefault="00CA3C97" w:rsidP="008A4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1.1</w:t>
      </w:r>
      <w:r w:rsidR="00241E92" w:rsidRPr="008A494E">
        <w:rPr>
          <w:rFonts w:ascii="Times New Roman" w:hAnsi="Times New Roman"/>
          <w:sz w:val="24"/>
          <w:szCs w:val="24"/>
        </w:rPr>
        <w:t>1</w:t>
      </w:r>
      <w:r w:rsidRPr="008A494E">
        <w:rPr>
          <w:rFonts w:ascii="Times New Roman" w:hAnsi="Times New Roman"/>
          <w:sz w:val="24"/>
          <w:szCs w:val="24"/>
        </w:rPr>
        <w:t xml:space="preserve">. </w:t>
      </w:r>
      <w:r w:rsidRPr="008A494E">
        <w:rPr>
          <w:rFonts w:ascii="Times New Roman" w:hAnsi="Times New Roman"/>
          <w:bCs/>
          <w:sz w:val="24"/>
          <w:szCs w:val="24"/>
        </w:rPr>
        <w:t xml:space="preserve">Приложение к Порядку составления и утверждения плана финансово-хозяйственной деятельности бюджетных учреждений, </w:t>
      </w:r>
      <w:r w:rsidR="008A494E" w:rsidRPr="008A494E">
        <w:rPr>
          <w:rFonts w:ascii="Times New Roman" w:hAnsi="Times New Roman"/>
          <w:bCs/>
          <w:sz w:val="24"/>
          <w:szCs w:val="24"/>
        </w:rPr>
        <w:t>подведомственных администрации</w:t>
      </w:r>
      <w:r w:rsidR="00CB0CB5" w:rsidRPr="008A494E">
        <w:rPr>
          <w:rFonts w:ascii="Times New Roman" w:hAnsi="Times New Roman"/>
          <w:bCs/>
          <w:sz w:val="24"/>
          <w:szCs w:val="24"/>
        </w:rPr>
        <w:t xml:space="preserve"> </w:t>
      </w:r>
      <w:r w:rsidRPr="008A494E">
        <w:rPr>
          <w:rFonts w:ascii="Times New Roman" w:hAnsi="Times New Roman"/>
          <w:bCs/>
          <w:sz w:val="24"/>
          <w:szCs w:val="24"/>
        </w:rPr>
        <w:t xml:space="preserve">Тейковского муниципального района изложить в новой редакции согласно </w:t>
      </w:r>
      <w:r w:rsidR="008A494E" w:rsidRPr="008A494E">
        <w:rPr>
          <w:rFonts w:ascii="Times New Roman" w:hAnsi="Times New Roman"/>
          <w:bCs/>
          <w:sz w:val="24"/>
          <w:szCs w:val="24"/>
        </w:rPr>
        <w:t>приложению,</w:t>
      </w:r>
      <w:r w:rsidRPr="008A494E">
        <w:rPr>
          <w:rFonts w:ascii="Times New Roman" w:hAnsi="Times New Roman"/>
          <w:bCs/>
          <w:sz w:val="24"/>
          <w:szCs w:val="24"/>
        </w:rPr>
        <w:t xml:space="preserve"> к настоящему постановлению.                                                                                </w:t>
      </w:r>
    </w:p>
    <w:p w:rsidR="00CA3C97" w:rsidRPr="008A494E" w:rsidRDefault="00CA3C97" w:rsidP="008A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8A494E">
        <w:rPr>
          <w:rFonts w:ascii="Times New Roman" w:hAnsi="Times New Roman"/>
          <w:sz w:val="24"/>
          <w:szCs w:val="24"/>
        </w:rPr>
        <w:t>2. Настоящее   постановление   применяется при формировании плана финансово-хозяйственной деятельности муниципального бюджетного учреждения, начиная с плана финансово-хозяйственной деятельности муниципального бюджетного учреждения на 2023 год и плановый период 2024 и 2025 годов.</w:t>
      </w:r>
    </w:p>
    <w:bookmarkEnd w:id="1"/>
    <w:p w:rsidR="00CA3C97" w:rsidRPr="008A494E" w:rsidRDefault="00CA3C97" w:rsidP="008A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C97" w:rsidRPr="008A494E" w:rsidRDefault="00CA3C97" w:rsidP="008A494E">
      <w:pPr>
        <w:pStyle w:val="a3"/>
        <w:ind w:firstLine="0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>Глава Тейковского</w:t>
      </w:r>
    </w:p>
    <w:p w:rsidR="00CA3C97" w:rsidRPr="008A494E" w:rsidRDefault="00CA3C97" w:rsidP="008A494E">
      <w:pPr>
        <w:pStyle w:val="a3"/>
        <w:ind w:firstLine="0"/>
        <w:rPr>
          <w:b/>
          <w:sz w:val="24"/>
          <w:szCs w:val="24"/>
        </w:rPr>
      </w:pPr>
      <w:r w:rsidRPr="008A494E">
        <w:rPr>
          <w:b/>
          <w:sz w:val="24"/>
          <w:szCs w:val="24"/>
        </w:rPr>
        <w:t xml:space="preserve">муниципального района          </w:t>
      </w:r>
      <w:r w:rsidR="00CB0CB5" w:rsidRPr="008A494E">
        <w:rPr>
          <w:b/>
          <w:sz w:val="24"/>
          <w:szCs w:val="24"/>
        </w:rPr>
        <w:t xml:space="preserve">                                    </w:t>
      </w:r>
      <w:r w:rsidR="008A494E" w:rsidRPr="008A494E">
        <w:rPr>
          <w:b/>
          <w:sz w:val="24"/>
          <w:szCs w:val="24"/>
        </w:rPr>
        <w:t xml:space="preserve">                           </w:t>
      </w:r>
      <w:r w:rsidR="00CB0CB5" w:rsidRPr="008A494E">
        <w:rPr>
          <w:b/>
          <w:sz w:val="24"/>
          <w:szCs w:val="24"/>
        </w:rPr>
        <w:t xml:space="preserve">       </w:t>
      </w:r>
      <w:r w:rsidRPr="008A494E">
        <w:rPr>
          <w:b/>
          <w:sz w:val="24"/>
          <w:szCs w:val="24"/>
        </w:rPr>
        <w:t xml:space="preserve"> В.А. Катков</w:t>
      </w:r>
    </w:p>
    <w:p w:rsidR="008A494E" w:rsidRPr="008A494E" w:rsidRDefault="008A494E" w:rsidP="008A494E">
      <w:pPr>
        <w:pStyle w:val="a3"/>
        <w:ind w:firstLine="0"/>
        <w:rPr>
          <w:b/>
          <w:sz w:val="24"/>
          <w:szCs w:val="24"/>
        </w:rPr>
        <w:sectPr w:rsidR="008A494E" w:rsidRPr="008A494E" w:rsidSect="008A49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494E" w:rsidRPr="008A494E" w:rsidRDefault="008A494E" w:rsidP="008A494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</w:t>
      </w:r>
    </w:p>
    <w:p w:rsidR="008A494E" w:rsidRPr="008A494E" w:rsidRDefault="008A494E" w:rsidP="008A494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к постановлению администрации Тейковского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94E">
        <w:rPr>
          <w:rFonts w:ascii="Times New Roman" w:hAnsi="Times New Roman"/>
          <w:sz w:val="24"/>
          <w:szCs w:val="24"/>
        </w:rPr>
        <w:t>муниципального района</w:t>
      </w:r>
    </w:p>
    <w:p w:rsidR="008A494E" w:rsidRPr="008A494E" w:rsidRDefault="008A494E" w:rsidP="008A494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от 23.12.2022 № 467</w:t>
      </w:r>
    </w:p>
    <w:p w:rsidR="008A494E" w:rsidRPr="008A494E" w:rsidRDefault="008A494E" w:rsidP="008A49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Порядку составления и утверждения плана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финансово - хозяйственной деятельности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бюджетных учреждений, подведомственных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администрации Тейковского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муниципального района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__________________________________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(наименование должности лица,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утверждающего документ)                                                                                                                                                                                                                              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   _____________________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gramStart"/>
      <w:r w:rsidRPr="008A494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«___» ______________ 20___г.                                                                                                                                                            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План финансово-</w:t>
      </w:r>
      <w:proofErr w:type="gramStart"/>
      <w:r w:rsidRPr="008A494E">
        <w:rPr>
          <w:rFonts w:ascii="Times New Roman" w:hAnsi="Times New Roman"/>
          <w:sz w:val="24"/>
          <w:szCs w:val="24"/>
        </w:rPr>
        <w:t>хозяйственной  деятельности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на 20___г.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и плановый период 20__ и 20___годов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от «___» ______________ 20___ г.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(дата утверждения плана)</w:t>
      </w:r>
    </w:p>
    <w:tbl>
      <w:tblPr>
        <w:tblpPr w:leftFromText="180" w:rightFromText="180" w:vertAnchor="text" w:horzAnchor="margin" w:tblpY="17"/>
        <w:tblW w:w="14709" w:type="dxa"/>
        <w:tblLook w:val="04A0" w:firstRow="1" w:lastRow="0" w:firstColumn="1" w:lastColumn="0" w:noHBand="0" w:noVBand="1"/>
      </w:tblPr>
      <w:tblGrid>
        <w:gridCol w:w="13195"/>
        <w:gridCol w:w="1514"/>
      </w:tblGrid>
      <w:tr w:rsidR="008A494E" w:rsidRPr="008A494E" w:rsidTr="008A494E">
        <w:trPr>
          <w:trHeight w:val="288"/>
        </w:trPr>
        <w:tc>
          <w:tcPr>
            <w:tcW w:w="131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88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Орган, осуществляющий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76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функции и полномочия учредителя___________________________________________________                по Сводному реестру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83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                                                                                                                                                                                                  глава по БК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88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Учреждение ______________________________________________________________________                по Сводному реестру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88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  Единица измерения: руб.                                                                                                      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ИНН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73"/>
        </w:trPr>
        <w:tc>
          <w:tcPr>
            <w:tcW w:w="131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                                      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КПП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494E" w:rsidRPr="008A494E" w:rsidTr="008A494E">
        <w:trPr>
          <w:trHeight w:val="248"/>
        </w:trPr>
        <w:tc>
          <w:tcPr>
            <w:tcW w:w="1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по ОКЕИ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Раздел 1. Поступления и выплаты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6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935"/>
        <w:gridCol w:w="1315"/>
        <w:gridCol w:w="1421"/>
        <w:gridCol w:w="55"/>
        <w:gridCol w:w="1787"/>
        <w:gridCol w:w="1421"/>
        <w:gridCol w:w="6"/>
        <w:gridCol w:w="1411"/>
        <w:gridCol w:w="290"/>
        <w:gridCol w:w="1273"/>
        <w:gridCol w:w="135"/>
        <w:gridCol w:w="1427"/>
        <w:gridCol w:w="142"/>
      </w:tblGrid>
      <w:tr w:rsidR="008A494E" w:rsidRPr="008A494E" w:rsidTr="008A494E">
        <w:trPr>
          <w:trHeight w:val="193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Код по бюджетной классификации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Российской Федерации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Аналитический код2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на 20__ г., текущий 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 xml:space="preserve"> вый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20__ г., первый год планового периода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20__ г., второй год планового периода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8A494E" w:rsidRPr="008A494E" w:rsidTr="008A494E">
        <w:trPr>
          <w:trHeight w:val="24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Остаток средств на начало текущего финансового года 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Остаток средств на конец текущего финансового года 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Доходы, всего: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доходы от собственности,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4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7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безвозмездные денежные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поступления, всего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субсидии на осуществление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капитальных вложений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1420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        прочие доходы, всего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прочие поступления, всего 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7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на выплаты персоналу,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оплата труда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фонда оплаты труда учреждения, для выполнения отдельных полномочий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2130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на выплаты по оплате труда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расходы на выплаты военнослужащим и сотрудникам, имеющим специальные звания, зависящие от размера денежного довольствия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42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на оплату труда стажеров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социальные и иные выплаты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населению,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7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7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налог на имущество организаций и земельный налог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иные налоги (включаемые в состав расходов) в бюджеты бюджетной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системы Российской Федерации, а также государственная пошлина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2320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безвозмездные перечисления организациям и физическим лицам,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расходы на закупку товаров, работ, услуг, всего 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закупку научно-исследовательских, опытно-конструкторских  и технологических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           закупку энергетических ресурсов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2660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7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2720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Выплаты, уменьшающие доход, всего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налог на прибыль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налог на добавленную стоимость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прочие налоги, уменьшающие доход 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Прочие выплаты, всего 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8A494E">
              <w:rPr>
                <w:rFonts w:ascii="Times New Roman" w:hAnsi="Times New Roman"/>
                <w:sz w:val="24"/>
                <w:szCs w:val="24"/>
              </w:rPr>
              <w:br/>
              <w:t>возврат в бюджет средств субсидии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trHeight w:val="853"/>
        </w:trPr>
        <w:tc>
          <w:tcPr>
            <w:tcW w:w="1461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В графе3 отражаются:    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по строкам 1100 - 1900 - коды аналитической группы подвида доходов бюджетов классификации доходов бюджетов;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по строкам 1980 - 1990 - коды аналитической группы вида источников финансирования дефицитов бюджетов классификации </w:t>
            </w:r>
            <w:proofErr w:type="gramStart"/>
            <w:r w:rsidRPr="008A494E">
              <w:rPr>
                <w:rFonts w:ascii="Times New Roman" w:hAnsi="Times New Roman"/>
                <w:sz w:val="24"/>
                <w:szCs w:val="24"/>
              </w:rPr>
              <w:t>источников  финансирования</w:t>
            </w:r>
            <w:proofErr w:type="gramEnd"/>
            <w:r w:rsidRPr="008A494E">
              <w:rPr>
                <w:rFonts w:ascii="Times New Roman" w:hAnsi="Times New Roman"/>
                <w:sz w:val="24"/>
                <w:szCs w:val="24"/>
              </w:rPr>
              <w:t xml:space="preserve"> дефицитов бюджетов;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по строкам 2000 - 2800 - коды видов расходов бюджетов классификации расходов бюджетов;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по строкам 3000 - 3030 - коды аналитической группы подвида доходов бюджетов классификации доходов бюджетов, по которым планируется уплата налогов, уменьшающих доход (в том числе налог на прибыль, налог на добавленную стоимость, единый налог на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вмененный доход для отдельных видов деятельности);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по строкам 4000 - 4040 - коды аналитической группы вида источников финансирования дефицитов бюджетов классификации источников финансирования дефицитов бюджетов.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2. 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№ 209н (зарегистрирован в Министерстве юстиции Российской Федерации 12 февраля 2018 г., регистрационный номер 50003), и (или) коды иных аналитических показателей, в случае, если Порядком органа - учредителя предусмотрена указанная детализация.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3. 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</w:t>
            </w:r>
            <w:proofErr w:type="gramStart"/>
            <w:r w:rsidRPr="008A494E">
              <w:rPr>
                <w:rFonts w:ascii="Times New Roman" w:hAnsi="Times New Roman"/>
                <w:sz w:val="24"/>
                <w:szCs w:val="24"/>
              </w:rPr>
              <w:t>Плана  либо</w:t>
            </w:r>
            <w:proofErr w:type="gramEnd"/>
            <w:r w:rsidRPr="008A494E">
              <w:rPr>
                <w:rFonts w:ascii="Times New Roman" w:hAnsi="Times New Roman"/>
                <w:sz w:val="24"/>
                <w:szCs w:val="24"/>
              </w:rPr>
              <w:t xml:space="preserve">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4.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>), а также за счет возврата средств, размещенных на банковских депозитах. При формировании Плана (проекта Плана) обособленному(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5. Показатели выплат по расходам на закупки товаров, работ, услуг, отраженные по строкам Раздела 1 «Поступления и выплаты» Плана, подлежат детализации в Разделе 2 «Сведения по выплатам на закупку товаров, работ, услуг» Плана.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6. Показатель отражается со знаком «минус».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7. Показатели прочих выплат включают в себя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>), размещения автономными учреждениями денежных средств на банковских депозитах. При формировании Плана (проекта Плана) обособленному(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      </w: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Раздел 2. Сведения по выплатам на закупки товаров, работ, услуг 8</w:t>
            </w:r>
          </w:p>
        </w:tc>
      </w:tr>
      <w:tr w:rsidR="008A494E" w:rsidRPr="008A494E" w:rsidTr="008A494E">
        <w:trPr>
          <w:gridAfter w:val="1"/>
          <w:wAfter w:w="142" w:type="dxa"/>
          <w:trHeight w:val="117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строк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начала закупки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A494E" w:rsidRPr="008A494E" w:rsidTr="008A494E">
        <w:trPr>
          <w:gridAfter w:val="1"/>
          <w:wAfter w:w="142" w:type="dxa"/>
          <w:trHeight w:val="1566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Код по бюджетной классификации Российской Федерации &lt;8.1&gt;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Уникальный код &lt;8.2&gt;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20__ г. (текущий финансовый год)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20__г. (</w:t>
            </w:r>
            <w:proofErr w:type="spellStart"/>
            <w:r w:rsidRPr="008A494E">
              <w:rPr>
                <w:rFonts w:ascii="Times New Roman" w:hAnsi="Times New Roman"/>
                <w:sz w:val="24"/>
                <w:szCs w:val="24"/>
              </w:rPr>
              <w:t>перваый</w:t>
            </w:r>
            <w:proofErr w:type="spellEnd"/>
            <w:r w:rsidRPr="008A494E">
              <w:rPr>
                <w:rFonts w:ascii="Times New Roman" w:hAnsi="Times New Roman"/>
                <w:sz w:val="24"/>
                <w:szCs w:val="24"/>
              </w:rPr>
              <w:t xml:space="preserve"> год планового периода)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на 20__ г. (первый год планового периода)</w:t>
            </w:r>
          </w:p>
        </w:tc>
      </w:tr>
      <w:tr w:rsidR="008A494E" w:rsidRPr="008A494E" w:rsidTr="008A494E">
        <w:trPr>
          <w:gridAfter w:val="1"/>
          <w:wAfter w:w="142" w:type="dxa"/>
          <w:trHeight w:val="40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94E" w:rsidRPr="008A494E" w:rsidTr="008A494E">
        <w:trPr>
          <w:gridAfter w:val="1"/>
          <w:wAfter w:w="142" w:type="dxa"/>
          <w:trHeight w:val="35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Выплаты на закупку товаров, работ, услуг, всего 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«О закупках товаров, работ, услуг отдельными видами юридических лиц»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(Собрание законодательства Российской Федерации, 2011, № 30, ст. 4571; 2018, № 32, ст. 5135) (далее - Федеральный закон № 223-ФЗ)10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26200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 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3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&lt;8.1&gt;: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26310.1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1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&lt;8.2&gt;: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26310.2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№ 223-Фз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26320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№ 44-ФЗ и Федерального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закона № 223-ФЗ 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26400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51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26411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34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223-ФЗ 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26412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8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8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&lt;8.1&gt;: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26421.1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3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223-ФЗ 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26422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03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 счет субсидий, предоставляемых на осуществление капитальных вложений 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26430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03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&lt;8.1&gt;: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26430.1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03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&lt;8.2&gt;: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26430.2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28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 xml:space="preserve">за счет средств обязательного </w:t>
            </w: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26440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51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26441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32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223-ФЗ 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26442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34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26450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3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26451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3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&lt;8.1&gt;: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26451.1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3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из них &lt;8.2&gt;: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26451.2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28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№ 223-ФЗ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26452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26500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4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26510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68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26600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94E" w:rsidRPr="008A494E" w:rsidTr="008A494E">
        <w:trPr>
          <w:gridAfter w:val="1"/>
          <w:wAfter w:w="142" w:type="dxa"/>
          <w:trHeight w:val="4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26610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94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94E" w:rsidRPr="008A494E" w:rsidRDefault="008A494E" w:rsidP="008A4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lastRenderedPageBreak/>
        <w:t>Руководитель учреждения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(уполномоченное лицо </w:t>
      </w:r>
      <w:proofErr w:type="gramStart"/>
      <w:r w:rsidRPr="008A494E">
        <w:rPr>
          <w:rFonts w:ascii="Times New Roman" w:hAnsi="Times New Roman"/>
          <w:sz w:val="24"/>
          <w:szCs w:val="24"/>
        </w:rPr>
        <w:t xml:space="preserve">учреждения)   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            ___________         ___________    ______________________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8A494E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       (подпись)        (расшифровка подписи)      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Исполнитель                 ___________          ___________    ______________________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8A494E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8A494E">
        <w:rPr>
          <w:rFonts w:ascii="Times New Roman" w:hAnsi="Times New Roman"/>
          <w:sz w:val="24"/>
          <w:szCs w:val="24"/>
        </w:rPr>
        <w:t xml:space="preserve">        (подпись)         (расшифровка подписи) 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  <w:sectPr w:rsidR="008A494E" w:rsidRPr="008A494E" w:rsidSect="008A494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8A494E">
        <w:rPr>
          <w:rFonts w:ascii="Times New Roman" w:hAnsi="Times New Roman"/>
          <w:sz w:val="24"/>
          <w:szCs w:val="24"/>
        </w:rPr>
        <w:t>«___»______________20___г.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lastRenderedPageBreak/>
        <w:t>8. В Разделе 2 «Сведения по выплатам на закупку товаров, работ, услуг» Плана детализируются показатели выплат по расходам на закупку товаров, работ, услуг, отраженные в строке 2600 Раздела.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8.1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6" w:history="1">
        <w:r w:rsidRPr="008A494E">
          <w:rPr>
            <w:rFonts w:ascii="Times New Roman" w:hAnsi="Times New Roman"/>
            <w:sz w:val="24"/>
            <w:szCs w:val="24"/>
          </w:rPr>
          <w:t>абзацем первым пункта 4 статьи 78.1</w:t>
        </w:r>
      </w:hyperlink>
      <w:r w:rsidRPr="008A494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7" w:history="1">
        <w:r w:rsidRPr="008A494E">
          <w:rPr>
            <w:rFonts w:ascii="Times New Roman" w:hAnsi="Times New Roman"/>
            <w:sz w:val="24"/>
            <w:szCs w:val="24"/>
          </w:rPr>
          <w:t>Указом</w:t>
        </w:r>
      </w:hyperlink>
      <w:r w:rsidRPr="008A494E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N 204 «О национальных целях и стратегических задачах развития Российской Федерации на период до 2024 года» (Собрание законодательства Российской Федерации, 2018, N 20, ст. 2817; 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«Сведения по выплатам на закупку товаров, работ, услуг»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 xml:space="preserve">8.2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«Электронный бюджет»,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 w:rsidRPr="008A494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A494E">
        <w:rPr>
          <w:rFonts w:ascii="Times New Roman" w:hAnsi="Times New Roman"/>
          <w:sz w:val="24"/>
          <w:szCs w:val="24"/>
        </w:rPr>
        <w:t xml:space="preserve"> расходных обязательств субъекта Российской Федерации (муниципального образования).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9. Плановые показатели выплат на закупку товаров, работ, услуг по строке 26000 Раздела 2 «Сведения по выплатам на закупку товаров, работ, услуг» Плана распределяются на выплаты по контрактам (договорам), заключенным (планируемым к заключению) в соответствии с гражданским законодательством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(строка 26300) и планируемым к заключению в соответствующем финансовом году (строка 26400).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10 Указывается сумма договоров (контрактов) о закупках товаров, работ, услуг, заключенных без учета требований Федерального закона № 44-ФЗ и Федерального закона № 223-ФЗ, в случаях, предусмотренных указанными федеральными законами.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11 Указывается сумма закупок товаров, работ, услуг, осуществляемых в соответствии с Федеральным законом № 44-ФЗ и Федеральным законом № 223-ФЗ.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12 Государственным (муниципальным) бюджетным учреждением показатель не формируется.</w:t>
      </w:r>
    </w:p>
    <w:p w:rsidR="008A494E" w:rsidRPr="008A494E" w:rsidRDefault="008A494E" w:rsidP="008A494E">
      <w:pPr>
        <w:spacing w:after="0"/>
        <w:rPr>
          <w:rFonts w:ascii="Times New Roman" w:hAnsi="Times New Roman"/>
          <w:sz w:val="24"/>
          <w:szCs w:val="24"/>
        </w:rPr>
      </w:pPr>
      <w:r w:rsidRPr="008A494E">
        <w:rPr>
          <w:rFonts w:ascii="Times New Roman" w:hAnsi="Times New Roman"/>
          <w:sz w:val="24"/>
          <w:szCs w:val="24"/>
        </w:rPr>
        <w:t>13 Указывается сумма закупок товаров, работ, услуг, осуществляемых в соответствии с Федеральным законом № 44-ФЗ.</w:t>
      </w:r>
    </w:p>
    <w:p w:rsidR="008A494E" w:rsidRPr="008A494E" w:rsidRDefault="008A494E" w:rsidP="008A494E">
      <w:pPr>
        <w:pStyle w:val="a3"/>
        <w:ind w:firstLine="0"/>
        <w:rPr>
          <w:b/>
          <w:sz w:val="24"/>
          <w:szCs w:val="24"/>
        </w:rPr>
      </w:pPr>
    </w:p>
    <w:sectPr w:rsidR="008A494E" w:rsidRPr="008A494E" w:rsidSect="00F05D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53"/>
    <w:multiLevelType w:val="hybridMultilevel"/>
    <w:tmpl w:val="B86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5F2"/>
    <w:multiLevelType w:val="hybridMultilevel"/>
    <w:tmpl w:val="72B0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7023A"/>
    <w:multiLevelType w:val="multilevel"/>
    <w:tmpl w:val="37D657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16B"/>
    <w:rsid w:val="00060DB3"/>
    <w:rsid w:val="00077168"/>
    <w:rsid w:val="00241E92"/>
    <w:rsid w:val="003F531A"/>
    <w:rsid w:val="004F24E4"/>
    <w:rsid w:val="00556000"/>
    <w:rsid w:val="00741C66"/>
    <w:rsid w:val="008A494E"/>
    <w:rsid w:val="008E183E"/>
    <w:rsid w:val="009835DD"/>
    <w:rsid w:val="00CA3C97"/>
    <w:rsid w:val="00CB0CB5"/>
    <w:rsid w:val="00D0616B"/>
    <w:rsid w:val="00EF7054"/>
    <w:rsid w:val="00FA7B2F"/>
    <w:rsid w:val="00FF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6E1"/>
  <w15:docId w15:val="{8FB177B8-6869-4765-831F-E56ECD4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3C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3C97"/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99"/>
    <w:qFormat/>
    <w:rsid w:val="00CA3C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A3C97"/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uiPriority w:val="99"/>
    <w:rsid w:val="00CA3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41C6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A494E"/>
  </w:style>
  <w:style w:type="paragraph" w:styleId="a8">
    <w:name w:val="List Paragraph"/>
    <w:basedOn w:val="a"/>
    <w:uiPriority w:val="34"/>
    <w:qFormat/>
    <w:rsid w:val="008A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89FF8695821FD4169B1AB8B69EFE936909EAE45C851D502E1DABE640BEDED5864F31D020892586E86B257B4m7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89FF8695821FD4169B1AB8B69EFE936909EA642CE51D502E1DABE640BEDED4A64AB11010B885B6593E406F22914BE2669080D46494889m5IFI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GlavFinOtdel</dc:creator>
  <cp:keywords/>
  <dc:description/>
  <cp:lastModifiedBy>Андрей</cp:lastModifiedBy>
  <cp:revision>9</cp:revision>
  <dcterms:created xsi:type="dcterms:W3CDTF">2022-12-22T12:25:00Z</dcterms:created>
  <dcterms:modified xsi:type="dcterms:W3CDTF">2022-12-28T06:02:00Z</dcterms:modified>
</cp:coreProperties>
</file>