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962C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3AAD33" wp14:editId="3646A2F3">
            <wp:extent cx="703580" cy="870585"/>
            <wp:effectExtent l="0" t="0" r="1270" b="571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07" w:rsidRPr="00962C07" w:rsidRDefault="00962C07" w:rsidP="00962C0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</w:t>
      </w: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Р Е Ш Е Н И Е</w:t>
      </w: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28.08.2019</w:t>
      </w:r>
      <w:r w:rsidRPr="0096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400-р</w:t>
      </w:r>
      <w:bookmarkStart w:id="0" w:name="_GoBack"/>
      <w:bookmarkEnd w:id="0"/>
      <w:r w:rsidRPr="0096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07" w:rsidRPr="00962C07" w:rsidRDefault="00962C07" w:rsidP="00962C07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Новогоряновского сельского поселения </w:t>
      </w:r>
    </w:p>
    <w:p w:rsidR="00962C07" w:rsidRPr="00962C07" w:rsidRDefault="00962C07" w:rsidP="00962C07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Тейковского муниципального района</w:t>
      </w:r>
    </w:p>
    <w:p w:rsidR="00962C07" w:rsidRPr="00962C07" w:rsidRDefault="00962C07" w:rsidP="00962C07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Ивановской области </w:t>
      </w:r>
    </w:p>
    <w:p w:rsidR="00962C07" w:rsidRPr="00962C07" w:rsidRDefault="00962C07" w:rsidP="00962C07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соответствии со статьей 8 Градостроительного кодекса Российской Федерации, статьей 2 Закона Ивановской области от 14.07.2008 № 82-ОЗ «О градостроительной деятельности на территории Ивановской области», руководствуясь Уставом Тейковского муниципального района, </w:t>
      </w: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Тейковского муниципального района РЕШИЛ:</w:t>
      </w:r>
    </w:p>
    <w:p w:rsidR="00962C07" w:rsidRPr="00962C07" w:rsidRDefault="00962C07" w:rsidP="00962C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hd w:val="clear" w:color="auto" w:fill="FFFFFF"/>
        <w:suppressAutoHyphens/>
        <w:spacing w:before="28" w:after="28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местные нормативы градостроительного проектирования Новогоряновского сельского поселения Тейковского муниципального района Ивановской области (прилагаются).</w:t>
      </w: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Тейковского         Председатель Совета Тейковского                                          муниципального района                         муниципального района</w:t>
      </w: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С.А. Семенова                                                               Н.С. Смирнов                                                                         </w:t>
      </w: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C07" w:rsidRPr="00962C07" w:rsidRDefault="00962C07" w:rsidP="0096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МЕСТНЫЕ НОРМАТИВЫ</w:t>
      </w:r>
    </w:p>
    <w:p w:rsidR="00BE251A" w:rsidRDefault="009207F5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</w:t>
      </w:r>
      <w:r w:rsidR="00BE251A">
        <w:rPr>
          <w:rFonts w:ascii="Times New Roman" w:hAnsi="Times New Roman" w:cs="Times New Roman"/>
          <w:b/>
          <w:sz w:val="52"/>
          <w:szCs w:val="52"/>
        </w:rPr>
        <w:t>радостроительного проектирования</w:t>
      </w:r>
    </w:p>
    <w:p w:rsidR="00BE251A" w:rsidRDefault="00D8324B" w:rsidP="00596ED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Новогоряновского</w:t>
      </w:r>
      <w:r w:rsidR="00BE251A">
        <w:rPr>
          <w:rFonts w:ascii="Times New Roman" w:hAnsi="Times New Roman" w:cs="Times New Roman"/>
          <w:b/>
          <w:sz w:val="52"/>
          <w:szCs w:val="52"/>
        </w:rPr>
        <w:t xml:space="preserve"> сельского поселения</w:t>
      </w:r>
    </w:p>
    <w:p w:rsidR="00BE251A" w:rsidRP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Тейковского муниципального района Ивановской области</w:t>
      </w: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55AF" w:rsidRDefault="004255AF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55AF" w:rsidRDefault="004255AF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694E" w:rsidRPr="00F83AF8" w:rsidRDefault="00755900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</w:p>
    <w:p w:rsidR="00917354" w:rsidRPr="00F83AF8" w:rsidRDefault="00846E0D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Введение…………………………………………………………………………….……</w:t>
      </w:r>
      <w:r w:rsidRPr="00F83AF8">
        <w:rPr>
          <w:rFonts w:ascii="Times New Roman" w:hAnsi="Times New Roman" w:cs="Times New Roman"/>
          <w:b/>
          <w:sz w:val="26"/>
          <w:szCs w:val="26"/>
        </w:rPr>
        <w:t>3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 1. Основная часть местных нормативов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>Новогоряновского</w:t>
      </w:r>
      <w:r w:rsidR="006D5638">
        <w:rPr>
          <w:rFonts w:ascii="Times New Roman" w:hAnsi="Times New Roman" w:cs="Times New Roman"/>
          <w:sz w:val="26"/>
          <w:szCs w:val="26"/>
        </w:rPr>
        <w:t xml:space="preserve"> </w:t>
      </w:r>
      <w:r w:rsidR="009F1B84" w:rsidRPr="00F83AF8">
        <w:rPr>
          <w:rFonts w:ascii="Times New Roman" w:hAnsi="Times New Roman" w:cs="Times New Roman"/>
          <w:sz w:val="26"/>
          <w:szCs w:val="26"/>
        </w:rPr>
        <w:t>сельского поселения Тейковского муниципального района</w:t>
      </w:r>
      <w:r w:rsidR="00846E0D" w:rsidRPr="00F83AF8">
        <w:rPr>
          <w:rFonts w:ascii="Times New Roman" w:hAnsi="Times New Roman" w:cs="Times New Roman"/>
          <w:sz w:val="26"/>
          <w:szCs w:val="26"/>
        </w:rPr>
        <w:t>…</w:t>
      </w:r>
      <w:r w:rsidR="00D8324B">
        <w:rPr>
          <w:rFonts w:ascii="Times New Roman" w:hAnsi="Times New Roman" w:cs="Times New Roman"/>
          <w:sz w:val="26"/>
          <w:szCs w:val="26"/>
        </w:rPr>
        <w:t>…</w:t>
      </w:r>
      <w:r w:rsidR="00846E0D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F1B84" w:rsidRPr="00F83A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1.1.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</w:r>
      <w:r w:rsidR="00D8324B">
        <w:rPr>
          <w:rFonts w:ascii="Times New Roman" w:hAnsi="Times New Roman" w:cs="Times New Roman"/>
          <w:sz w:val="26"/>
          <w:szCs w:val="26"/>
        </w:rPr>
        <w:t>Новогоряновского</w:t>
      </w:r>
      <w:r w:rsidR="004255AF">
        <w:rPr>
          <w:rFonts w:ascii="Times New Roman" w:hAnsi="Times New Roman" w:cs="Times New Roman"/>
          <w:sz w:val="26"/>
          <w:szCs w:val="26"/>
        </w:rPr>
        <w:t xml:space="preserve"> </w:t>
      </w:r>
      <w:r w:rsidR="004255AF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>Тейковского муниципального района……………………………………...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4255AF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транспорта (автомобильные дороги местного значения)</w:t>
      </w:r>
      <w:r w:rsidR="00596EDC">
        <w:rPr>
          <w:rFonts w:ascii="Times New Roman" w:hAnsi="Times New Roman" w:cs="Times New Roman"/>
          <w:sz w:val="26"/>
          <w:szCs w:val="26"/>
        </w:rPr>
        <w:t>…...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</w:t>
      </w:r>
      <w:r w:rsidR="004255AF">
        <w:rPr>
          <w:rFonts w:ascii="Times New Roman" w:hAnsi="Times New Roman" w:cs="Times New Roman"/>
          <w:sz w:val="26"/>
          <w:szCs w:val="26"/>
        </w:rPr>
        <w:t>………….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0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физической культуры и массового спорта и показатели максимально допустимого уровня территориальной доступнос</w:t>
      </w:r>
      <w:r w:rsidR="007C3B75" w:rsidRPr="00F83AF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  <w:r w:rsidR="00596EDC">
        <w:rPr>
          <w:rFonts w:ascii="Times New Roman" w:hAnsi="Times New Roman" w:cs="Times New Roman"/>
          <w:sz w:val="26"/>
          <w:szCs w:val="26"/>
        </w:rPr>
        <w:t>……...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........</w:t>
      </w:r>
      <w:r w:rsidR="004255AF">
        <w:rPr>
          <w:rFonts w:ascii="Times New Roman" w:hAnsi="Times New Roman" w:cs="Times New Roman"/>
          <w:sz w:val="26"/>
          <w:szCs w:val="26"/>
        </w:rPr>
        <w:t>.................................</w:t>
      </w:r>
      <w:r w:rsidR="007C3B75" w:rsidRPr="00F83AF8">
        <w:rPr>
          <w:rFonts w:ascii="Times New Roman" w:hAnsi="Times New Roman" w:cs="Times New Roman"/>
          <w:sz w:val="26"/>
          <w:szCs w:val="26"/>
        </w:rPr>
        <w:t>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1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Расчётные показатели минимально допустимого уровня обеспеченности иными объектами, связанными с решением вопросов местного значения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4255AF">
        <w:rPr>
          <w:rFonts w:ascii="Times New Roman" w:hAnsi="Times New Roman" w:cs="Times New Roman"/>
          <w:sz w:val="26"/>
          <w:szCs w:val="26"/>
        </w:rPr>
        <w:t>………………………..</w:t>
      </w:r>
      <w:r w:rsidR="00596EDC">
        <w:rPr>
          <w:rFonts w:ascii="Times New Roman" w:hAnsi="Times New Roman" w:cs="Times New Roman"/>
          <w:sz w:val="26"/>
          <w:szCs w:val="26"/>
        </w:rPr>
        <w:t>.</w:t>
      </w:r>
      <w:r w:rsidR="00615820">
        <w:rPr>
          <w:rFonts w:ascii="Times New Roman" w:hAnsi="Times New Roman" w:cs="Times New Roman"/>
          <w:b/>
          <w:sz w:val="26"/>
          <w:szCs w:val="26"/>
        </w:rPr>
        <w:t>12</w:t>
      </w:r>
    </w:p>
    <w:p w:rsidR="00E73C4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1.4.1. Расчетные показатели в области образования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1.4.2. Расчетные показатели в области здравоохранения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1.4.3. Расчетные показатели в области культуры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3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1.4.4. Расчетные показатели в области жилищного строительства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DA4D40">
        <w:rPr>
          <w:rFonts w:ascii="Times New Roman" w:hAnsi="Times New Roman" w:cs="Times New Roman"/>
          <w:sz w:val="26"/>
          <w:szCs w:val="26"/>
        </w:rPr>
        <w:t>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4</w:t>
      </w:r>
    </w:p>
    <w:p w:rsidR="00DA4D40" w:rsidRPr="00DA4D40" w:rsidRDefault="00DA4D40" w:rsidP="00DA4D4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A4D40">
        <w:rPr>
          <w:rFonts w:ascii="Times New Roman" w:hAnsi="Times New Roman" w:cs="Times New Roman"/>
          <w:sz w:val="26"/>
          <w:szCs w:val="26"/>
        </w:rPr>
        <w:t>1.4.5. Расчетные показатели муниципальных мест погребения</w:t>
      </w:r>
      <w:r>
        <w:rPr>
          <w:rFonts w:ascii="Times New Roman" w:hAnsi="Times New Roman" w:cs="Times New Roman"/>
          <w:sz w:val="26"/>
          <w:szCs w:val="26"/>
        </w:rPr>
        <w:t>……………………..</w:t>
      </w:r>
      <w:r w:rsidRPr="00DA4D40">
        <w:rPr>
          <w:rFonts w:ascii="Times New Roman" w:hAnsi="Times New Roman" w:cs="Times New Roman"/>
          <w:b/>
          <w:sz w:val="26"/>
          <w:szCs w:val="26"/>
        </w:rPr>
        <w:t>1</w:t>
      </w:r>
      <w:r w:rsidR="00B20509">
        <w:rPr>
          <w:rFonts w:ascii="Times New Roman" w:hAnsi="Times New Roman" w:cs="Times New Roman"/>
          <w:b/>
          <w:sz w:val="26"/>
          <w:szCs w:val="26"/>
        </w:rPr>
        <w:t>4</w:t>
      </w:r>
    </w:p>
    <w:p w:rsidR="00E73C44" w:rsidRPr="00B20509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2. 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C3B75" w:rsidRPr="00F83AF8">
        <w:rPr>
          <w:rFonts w:ascii="Times New Roman" w:hAnsi="Times New Roman" w:cs="Times New Roman"/>
          <w:sz w:val="26"/>
          <w:szCs w:val="26"/>
        </w:rPr>
        <w:t>Тейковского мун</w:t>
      </w:r>
      <w:r w:rsidR="00596EDC">
        <w:rPr>
          <w:rFonts w:ascii="Times New Roman" w:hAnsi="Times New Roman" w:cs="Times New Roman"/>
          <w:sz w:val="26"/>
          <w:szCs w:val="26"/>
        </w:rPr>
        <w:t>иципального района</w:t>
      </w:r>
      <w:r w:rsidR="004255AF">
        <w:rPr>
          <w:rFonts w:ascii="Times New Roman" w:hAnsi="Times New Roman" w:cs="Times New Roman"/>
          <w:sz w:val="26"/>
          <w:szCs w:val="26"/>
        </w:rPr>
        <w:t>………………………..</w:t>
      </w:r>
      <w:r w:rsidR="00596EDC">
        <w:rPr>
          <w:rFonts w:ascii="Times New Roman" w:hAnsi="Times New Roman" w:cs="Times New Roman"/>
          <w:sz w:val="26"/>
          <w:szCs w:val="26"/>
        </w:rPr>
        <w:t>.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615820">
        <w:rPr>
          <w:rFonts w:ascii="Times New Roman" w:hAnsi="Times New Roman" w:cs="Times New Roman"/>
          <w:b/>
          <w:sz w:val="26"/>
          <w:szCs w:val="26"/>
        </w:rPr>
        <w:t>5</w:t>
      </w:r>
    </w:p>
    <w:p w:rsidR="00E73C44" w:rsidRPr="00596EDC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3. Правила и область применения расчётных показателей, содержащихся в основной части местных нормативов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</w:t>
      </w:r>
      <w:r w:rsidR="002674EB">
        <w:rPr>
          <w:rFonts w:ascii="Times New Roman" w:hAnsi="Times New Roman" w:cs="Times New Roman"/>
          <w:sz w:val="26"/>
          <w:szCs w:val="26"/>
        </w:rPr>
        <w:t>ковского муниципального района.</w:t>
      </w:r>
      <w:r w:rsidR="007C3B75" w:rsidRPr="00F83AF8">
        <w:rPr>
          <w:rFonts w:ascii="Times New Roman" w:hAnsi="Times New Roman" w:cs="Times New Roman"/>
          <w:sz w:val="26"/>
          <w:szCs w:val="26"/>
        </w:rPr>
        <w:t>…</w:t>
      </w:r>
      <w:r w:rsidR="00596ED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3.1.Область применения расчетных показателей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Состав участников градостроительных отношений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615820">
        <w:rPr>
          <w:rFonts w:ascii="Times New Roman" w:hAnsi="Times New Roman" w:cs="Times New Roman"/>
          <w:b/>
          <w:sz w:val="26"/>
          <w:szCs w:val="26"/>
        </w:rPr>
        <w:t>2</w:t>
      </w:r>
      <w:r w:rsidR="00DA4D40">
        <w:rPr>
          <w:rFonts w:ascii="Times New Roman" w:hAnsi="Times New Roman" w:cs="Times New Roman"/>
          <w:b/>
          <w:sz w:val="26"/>
          <w:szCs w:val="26"/>
        </w:rPr>
        <w:t>1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Документы градостроительного проектирования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B20509">
        <w:rPr>
          <w:rFonts w:ascii="Times New Roman" w:hAnsi="Times New Roman" w:cs="Times New Roman"/>
          <w:b/>
          <w:sz w:val="26"/>
          <w:szCs w:val="26"/>
        </w:rPr>
        <w:t>21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AAC" w:rsidRPr="00596EDC" w:rsidRDefault="00A53AAC" w:rsidP="00D74BD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F83AF8">
        <w:rPr>
          <w:rFonts w:ascii="Times New Roman" w:hAnsi="Times New Roman" w:cs="Times New Roman"/>
          <w:bCs/>
          <w:sz w:val="26"/>
          <w:szCs w:val="26"/>
        </w:rPr>
        <w:t>Перечень нормативных правовых актов и иных документов, используемых в нормативах градостроительного проектирования</w:t>
      </w:r>
      <w:r w:rsidR="00F83AF8" w:rsidRPr="00F83AF8">
        <w:rPr>
          <w:rFonts w:ascii="Times New Roman" w:hAnsi="Times New Roman" w:cs="Times New Roman"/>
          <w:bCs/>
          <w:sz w:val="26"/>
          <w:szCs w:val="26"/>
        </w:rPr>
        <w:t>……………………………………</w:t>
      </w:r>
      <w:r w:rsidR="00615820" w:rsidRPr="00596ED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20509" w:rsidRPr="00596EDC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73C44" w:rsidRPr="00E73C44" w:rsidRDefault="00E73C44" w:rsidP="00E73C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354" w:rsidRPr="00615820" w:rsidRDefault="00755900" w:rsidP="00E3518C">
      <w:pPr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</w:p>
    <w:p w:rsidR="0029181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(далее также МНГП) разработаны </w:t>
      </w:r>
      <w:r w:rsidR="00291819" w:rsidRPr="00615820">
        <w:rPr>
          <w:rFonts w:ascii="Times New Roman" w:hAnsi="Times New Roman" w:cs="Times New Roman"/>
          <w:sz w:val="26"/>
          <w:szCs w:val="26"/>
        </w:rPr>
        <w:t>администрацией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федерального законодательства (ст. 29.1-29.4 Градостроительного кодекса Российской Федерации), Региональны</w:t>
      </w:r>
      <w:r w:rsidR="00633D21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633D21" w:rsidRPr="00615820">
        <w:rPr>
          <w:rFonts w:ascii="Times New Roman" w:hAnsi="Times New Roman" w:cs="Times New Roman"/>
          <w:sz w:val="26"/>
          <w:szCs w:val="26"/>
        </w:rPr>
        <w:t>ов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нормативно-правовых актов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29181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объектами местного значения и расчетных показателей максимально допустимого уровня территориальной доступности таких объектов для населения по соответствующим полномочиям.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Целью разработки местных нормативов градостроительного проектирования является обеспечение пространственного развития территории, соответствующего качеству жизни населения, предусмотренного документами планирования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развития территории. </w:t>
      </w:r>
    </w:p>
    <w:p w:rsidR="00E3518C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МНГП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разработаны в целях: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организации управления градостроительной деятельностью на территории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2) обоснованного определения параметров развития территорий поселения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Задачами применения местных нормативов является создание условий для: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преобразования пространственной организации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обеспечивающего современные стандарты организации территорий жилого, производственного, рекреационного назначения;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2) планирования территорий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12E81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33D21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входит</w:t>
      </w:r>
      <w:r w:rsidR="00633D21" w:rsidRPr="00615820">
        <w:rPr>
          <w:rFonts w:ascii="Times New Roman" w:hAnsi="Times New Roman" w:cs="Times New Roman"/>
          <w:sz w:val="26"/>
          <w:szCs w:val="26"/>
        </w:rPr>
        <w:t>: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о</w:t>
      </w:r>
      <w:r w:rsidR="00755900" w:rsidRPr="00615820">
        <w:rPr>
          <w:rFonts w:ascii="Times New Roman" w:hAnsi="Times New Roman" w:cs="Times New Roman"/>
          <w:sz w:val="26"/>
          <w:szCs w:val="26"/>
        </w:rPr>
        <w:t>сновная часть, с</w:t>
      </w:r>
      <w:r w:rsidRPr="00615820">
        <w:rPr>
          <w:rFonts w:ascii="Times New Roman" w:hAnsi="Times New Roman" w:cs="Times New Roman"/>
          <w:sz w:val="26"/>
          <w:szCs w:val="26"/>
        </w:rPr>
        <w:t>одержащая расчетные показатели;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материалы по обоснованию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приведенных в основной части МНГП;</w:t>
      </w:r>
    </w:p>
    <w:p w:rsidR="00E3518C" w:rsidRPr="00615820" w:rsidRDefault="00633D21" w:rsidP="00633D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</w:t>
      </w:r>
      <w:r w:rsidR="00755900" w:rsidRPr="00615820">
        <w:rPr>
          <w:rFonts w:ascii="Times New Roman" w:hAnsi="Times New Roman" w:cs="Times New Roman"/>
          <w:sz w:val="26"/>
          <w:szCs w:val="26"/>
        </w:rPr>
        <w:t>правила и область пр</w:t>
      </w:r>
      <w:r w:rsidRPr="00615820">
        <w:rPr>
          <w:rFonts w:ascii="Times New Roman" w:hAnsi="Times New Roman" w:cs="Times New Roman"/>
          <w:sz w:val="26"/>
          <w:szCs w:val="26"/>
        </w:rPr>
        <w:t>именения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приведенных в основной части МНГП.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Основная часть МНГП содержит совокупность расчетных показателей минимально допустимого уровня обеспеченности объектами местного значения населения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относящимся к областям: инженерного обеспечения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(электро-, тепло-, газо-, водоснабжения и водоотведения), в области транспорта (автомобильные дороги местного значения)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в </w:t>
      </w:r>
      <w:r w:rsidRPr="00615820">
        <w:rPr>
          <w:rFonts w:ascii="Times New Roman" w:hAnsi="Times New Roman" w:cs="Times New Roman"/>
          <w:sz w:val="26"/>
          <w:szCs w:val="26"/>
        </w:rPr>
        <w:t xml:space="preserve">области физической культуры и спорта, в иных областей, связанных с решением вопросов местного значения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45C84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18C" w:rsidRPr="00615820" w:rsidRDefault="00755900" w:rsidP="00900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Нормативы разработаны на основании статистических и демографических данных с учетом административно-территориального устройства поселения и муниципального района в целом, социально-демографического состава и плотности населения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природно-климатических особенностей, стратегий, программ и планов социально-экономического развития региона, 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предложений </w:t>
      </w:r>
      <w:r w:rsidR="00CB446A" w:rsidRPr="00615820">
        <w:rPr>
          <w:rFonts w:ascii="Times New Roman" w:hAnsi="Times New Roman" w:cs="Times New Roman"/>
          <w:sz w:val="26"/>
          <w:szCs w:val="26"/>
        </w:rPr>
        <w:t>органов местного самоуправления,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CB446A" w:rsidRPr="00615820">
        <w:rPr>
          <w:rFonts w:ascii="Times New Roman" w:hAnsi="Times New Roman" w:cs="Times New Roman"/>
          <w:sz w:val="26"/>
          <w:szCs w:val="26"/>
        </w:rPr>
        <w:t>п</w:t>
      </w:r>
      <w:r w:rsidRPr="00615820">
        <w:rPr>
          <w:rFonts w:ascii="Times New Roman" w:hAnsi="Times New Roman" w:cs="Times New Roman"/>
          <w:sz w:val="26"/>
          <w:szCs w:val="26"/>
        </w:rPr>
        <w:t xml:space="preserve">о результатам анализа официальных источников информации 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Территориального органа Федеральной службы государственной статистики по </w:t>
      </w:r>
      <w:r w:rsidR="00900509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>, действующих документов градостроительного проектирования и территориального планирования, а также документов комплексного социально-экономичес</w:t>
      </w:r>
      <w:r w:rsidR="00CB446A" w:rsidRPr="00615820">
        <w:rPr>
          <w:rFonts w:ascii="Times New Roman" w:hAnsi="Times New Roman" w:cs="Times New Roman"/>
          <w:sz w:val="26"/>
          <w:szCs w:val="26"/>
        </w:rPr>
        <w:t>кого развития района и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. Нормативы направлены на обеспечение градостроительными средствами безопасности и устойчивости развития района и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воздействий природного и техногенного характера, а также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транспортной инфраструктуры и благоустройства. </w:t>
      </w:r>
    </w:p>
    <w:p w:rsidR="00900509" w:rsidRPr="00615820" w:rsidRDefault="00E3518C" w:rsidP="00596ED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 ОСНОВНАЯ ЧАСТЬ МЕСТНЫХ НОРМАТИВОВ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>ГР</w:t>
      </w:r>
      <w:r w:rsidR="00596EDC">
        <w:rPr>
          <w:rFonts w:ascii="Times New Roman" w:hAnsi="Times New Roman" w:cs="Times New Roman"/>
          <w:b/>
          <w:sz w:val="26"/>
          <w:szCs w:val="26"/>
        </w:rPr>
        <w:t xml:space="preserve">АДОСТРОИТЕЛЬНОГО ПРОЕКТИРОВАНИЯ </w:t>
      </w:r>
      <w:r w:rsidR="00D8324B">
        <w:rPr>
          <w:rFonts w:ascii="Times New Roman" w:hAnsi="Times New Roman" w:cs="Times New Roman"/>
          <w:b/>
          <w:sz w:val="26"/>
          <w:szCs w:val="26"/>
        </w:rPr>
        <w:t>НОВОГОРЯНОВСКОГО</w:t>
      </w:r>
      <w:r w:rsidR="00900509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E3518C" w:rsidRPr="00615820" w:rsidRDefault="00755900" w:rsidP="0090050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0050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исходя из текущей обеспеченности сельского поселения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демографической ситуации и уровня жизни населения. 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Перечень показателей установлен согласно положений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</w:t>
      </w:r>
      <w:r w:rsidR="00B7274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1.1 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 и водоснабжение населения, водоотведение) и показатели максимально допустимого уровня территориальной доступности таких объектов для населения </w:t>
      </w:r>
      <w:r w:rsidR="00D8324B">
        <w:rPr>
          <w:rFonts w:ascii="Times New Roman" w:hAnsi="Times New Roman" w:cs="Times New Roman"/>
          <w:b/>
          <w:sz w:val="26"/>
          <w:szCs w:val="26"/>
        </w:rPr>
        <w:t>Новогоряновского</w:t>
      </w:r>
      <w:r w:rsidR="002674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749" w:rsidRPr="0061582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Тейковского муниципального района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таблицах 1.1.1. </w:t>
      </w:r>
    </w:p>
    <w:p w:rsidR="00AA79A3" w:rsidRPr="00615820" w:rsidRDefault="00755900" w:rsidP="000C4B3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1.1.1. Расчетные показатели объектов, относящихся к области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820" w:rsidRPr="00615820" w:rsidTr="000C4123">
        <w:tc>
          <w:tcPr>
            <w:tcW w:w="704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AA79A3">
        <w:tc>
          <w:tcPr>
            <w:tcW w:w="704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AA79A3">
        <w:tc>
          <w:tcPr>
            <w:tcW w:w="704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Электроэнергия, электропотребление</w:t>
            </w:r>
          </w:p>
        </w:tc>
        <w:tc>
          <w:tcPr>
            <w:tcW w:w="2336" w:type="dxa"/>
          </w:tcPr>
          <w:p w:rsidR="00CB446A" w:rsidRPr="00615820" w:rsidRDefault="00CB446A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кВт ч/ год</w:t>
            </w:r>
          </w:p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на 1 чел.</w:t>
            </w:r>
          </w:p>
        </w:tc>
        <w:tc>
          <w:tcPr>
            <w:tcW w:w="2337" w:type="dxa"/>
          </w:tcPr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615820" w:rsidRPr="00615820" w:rsidTr="00AA79A3">
        <w:tc>
          <w:tcPr>
            <w:tcW w:w="704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Использование максимума электрической нагрузки</w:t>
            </w:r>
          </w:p>
        </w:tc>
        <w:tc>
          <w:tcPr>
            <w:tcW w:w="2336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ч/год</w:t>
            </w:r>
          </w:p>
        </w:tc>
        <w:tc>
          <w:tcPr>
            <w:tcW w:w="2337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4100</w:t>
            </w:r>
          </w:p>
        </w:tc>
      </w:tr>
    </w:tbl>
    <w:p w:rsidR="00AA79A3" w:rsidRPr="00615820" w:rsidRDefault="00AA79A3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Расчёт электрических нагрузок для разных типов застройки следует производить в соответствии с нормами РД 34.20.185-94.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В целях защиты населения от воздействия электрического поля ВЛ устанавливаются санитарно-защитные зоны. Санитарно-защитной зоной ВЛ является территория вдоль трассы ВЛ, в которой напряженность электрического поля превышает 1 кВ/м. </w:t>
      </w:r>
    </w:p>
    <w:p w:rsidR="008B6950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1.1.2.</w:t>
      </w:r>
      <w:r w:rsidR="008B695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Охранные зоны ВЛ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8B6950">
        <w:tc>
          <w:tcPr>
            <w:tcW w:w="84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до 1кВ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1-20 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35кВ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6088A" w:rsidRPr="00615820" w:rsidRDefault="00755900" w:rsidP="000C4B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</w:t>
      </w:r>
      <w:r w:rsidR="0056088A" w:rsidRPr="00615820">
        <w:rPr>
          <w:rFonts w:ascii="Times New Roman" w:hAnsi="Times New Roman" w:cs="Times New Roman"/>
          <w:sz w:val="26"/>
          <w:szCs w:val="26"/>
        </w:rPr>
        <w:t>.</w:t>
      </w:r>
    </w:p>
    <w:p w:rsidR="0056088A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Охранная зона ВЛ напряжения 1-20 кВ составляет 5м для линий с самонесущими или изолированными проводами, размещенных в границах населённых пунктов </w:t>
      </w:r>
    </w:p>
    <w:p w:rsidR="0056088A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1.1.3. Размеры земельных участков для объектов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объекта в зависимости от назначения</w:t>
            </w:r>
          </w:p>
        </w:tc>
        <w:tc>
          <w:tcPr>
            <w:tcW w:w="3115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м2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и комплектные (КТП) подстанции 35/0,38 кВ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кВ·А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Опоры воздушных линий электропередачи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749FE" w:rsidRPr="00615820" w:rsidRDefault="00F749FE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55A4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Таблица 1.1.4. Расчетные показатели уровня потребления коммунальной услуги по газоснабжению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C655A4" w:rsidRPr="00615820" w:rsidRDefault="00D21894" w:rsidP="00C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3" w:type="dxa"/>
            <w:gridSpan w:val="2"/>
          </w:tcPr>
          <w:p w:rsidR="00C655A4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наличии централизованного горячего водоснабжения</w:t>
            </w:r>
          </w:p>
        </w:tc>
        <w:tc>
          <w:tcPr>
            <w:tcW w:w="2336" w:type="dxa"/>
          </w:tcPr>
          <w:p w:rsidR="00C655A4" w:rsidRPr="00615820" w:rsidRDefault="00A066F9" w:rsidP="00A06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горячем водоснабжении от газовых водонагревателях</w:t>
            </w:r>
          </w:p>
        </w:tc>
        <w:tc>
          <w:tcPr>
            <w:tcW w:w="233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615820" w:rsidRPr="00615820" w:rsidTr="000C4123">
        <w:tc>
          <w:tcPr>
            <w:tcW w:w="9345" w:type="dxa"/>
            <w:gridSpan w:val="4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Для отопления жилых помещений</w:t>
            </w:r>
          </w:p>
        </w:tc>
      </w:tr>
      <w:tr w:rsidR="00615820" w:rsidRPr="00615820" w:rsidTr="000C4123">
        <w:tc>
          <w:tcPr>
            <w:tcW w:w="846" w:type="dxa"/>
          </w:tcPr>
          <w:p w:rsidR="008A4B7B" w:rsidRPr="00615820" w:rsidRDefault="00576198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4B7B" w:rsidRPr="0061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233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 / кв. м общей площади жилых помещений в год</w:t>
            </w:r>
          </w:p>
        </w:tc>
        <w:tc>
          <w:tcPr>
            <w:tcW w:w="2337" w:type="dxa"/>
          </w:tcPr>
          <w:p w:rsidR="008A4B7B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</w:tbl>
    <w:p w:rsidR="00C655A4" w:rsidRPr="00615820" w:rsidRDefault="00C655A4" w:rsidP="000D4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F9" w:rsidRPr="00615820" w:rsidRDefault="00A272F9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Указанные нормы следует применять с учётом требований СП 62.13330.2011 </w:t>
      </w:r>
    </w:p>
    <w:p w:rsidR="00A272F9" w:rsidRPr="00615820" w:rsidRDefault="00755900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Размеры земельных участков газонаполнительных станций (ГНС) в зависимости от их производительности следует принимать по проекту. </w:t>
      </w:r>
    </w:p>
    <w:p w:rsidR="000D4687" w:rsidRPr="00615820" w:rsidRDefault="000D4687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1.1.5. Охранные зоны газопровода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Тип газопровода</w:t>
            </w:r>
          </w:p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наружных газопроводов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CB23A5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 *</w:t>
            </w:r>
          </w:p>
        </w:tc>
      </w:tr>
    </w:tbl>
    <w:p w:rsidR="00A272F9" w:rsidRPr="00615820" w:rsidRDefault="00A272F9" w:rsidP="00A272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 </w:t>
      </w: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272F9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 </w:t>
      </w:r>
    </w:p>
    <w:p w:rsidR="00A272F9" w:rsidRPr="00615820" w:rsidRDefault="00256445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A066F9"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Pr="00615820">
        <w:rPr>
          <w:rFonts w:ascii="Times New Roman" w:hAnsi="Times New Roman" w:cs="Times New Roman"/>
          <w:sz w:val="26"/>
          <w:szCs w:val="26"/>
        </w:rPr>
        <w:t xml:space="preserve"> 3 </w:t>
      </w:r>
      <w:r w:rsidR="00755900" w:rsidRPr="00615820">
        <w:rPr>
          <w:rFonts w:ascii="Times New Roman" w:hAnsi="Times New Roman" w:cs="Times New Roman"/>
          <w:sz w:val="26"/>
          <w:szCs w:val="26"/>
        </w:rPr>
        <w:t>метра от газопровода со стороны провода и 2 метра - с противоположной стороны</w:t>
      </w:r>
      <w:r w:rsidR="00A272F9" w:rsidRPr="00615820">
        <w:rPr>
          <w:rFonts w:ascii="Times New Roman" w:hAnsi="Times New Roman" w:cs="Times New Roman"/>
          <w:sz w:val="26"/>
          <w:szCs w:val="26"/>
        </w:rPr>
        <w:t>.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2F9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1.1.6. Размеры земельных участков для объектов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15820" w:rsidRPr="00615820" w:rsidTr="0006516D">
        <w:tc>
          <w:tcPr>
            <w:tcW w:w="846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станций</w:t>
            </w:r>
          </w:p>
        </w:tc>
        <w:tc>
          <w:tcPr>
            <w:tcW w:w="3115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Промежуточных складов баллонов (ПСБ)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Газораспределительный пункт (ГРП)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</w:tbl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Расчёт показателя в области Теплоснабжения не подлежит нормированию, в связи с тем, что теплоснабжение жилых домов и муниципальных учреждений индивидуальное (котельные и бойлеры). </w:t>
      </w:r>
    </w:p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</w:t>
      </w:r>
      <w:r w:rsidR="00CB23A5" w:rsidRPr="00615820">
        <w:rPr>
          <w:rFonts w:ascii="Times New Roman" w:hAnsi="Times New Roman" w:cs="Times New Roman"/>
          <w:sz w:val="26"/>
          <w:szCs w:val="26"/>
        </w:rPr>
        <w:t>следует принимать по таблице 1.1</w:t>
      </w:r>
      <w:r w:rsidRPr="00615820">
        <w:rPr>
          <w:rFonts w:ascii="Times New Roman" w:hAnsi="Times New Roman" w:cs="Times New Roman"/>
          <w:sz w:val="26"/>
          <w:szCs w:val="26"/>
        </w:rPr>
        <w:t xml:space="preserve">.7. </w:t>
      </w:r>
    </w:p>
    <w:p w:rsidR="0006516D" w:rsidRPr="00615820" w:rsidRDefault="00755900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1.1.7. Расчетные показатели объектов, </w:t>
      </w:r>
      <w:r w:rsidR="00CB23A5" w:rsidRPr="00615820">
        <w:rPr>
          <w:rFonts w:ascii="Times New Roman" w:hAnsi="Times New Roman" w:cs="Times New Roman"/>
          <w:sz w:val="26"/>
          <w:szCs w:val="26"/>
        </w:rPr>
        <w:t>относящихся к области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Теплопроизводительность котельных, МВт</w:t>
            </w: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га, работающих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твердом топливе</w:t>
            </w:r>
          </w:p>
        </w:tc>
        <w:tc>
          <w:tcPr>
            <w:tcW w:w="2337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газомазутном топливе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6516D" w:rsidRPr="00615820" w:rsidRDefault="0006516D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84DF4" w:rsidRPr="00615820" w:rsidRDefault="00755900" w:rsidP="00F84DF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1.1.8. Расчетные показатели объектов, относящихся к области водоснабжения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20" w:rsidRPr="00615820" w:rsidTr="00F84DF4">
        <w:tc>
          <w:tcPr>
            <w:tcW w:w="4672" w:type="dxa"/>
          </w:tcPr>
          <w:p w:rsidR="00F84DF4" w:rsidRPr="00615820" w:rsidRDefault="00F84DF4" w:rsidP="00065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жилого помещения при централизованном холодном водоснабжении (с отсутствием горячего водоснабжения)</w:t>
            </w:r>
          </w:p>
        </w:tc>
        <w:tc>
          <w:tcPr>
            <w:tcW w:w="4673" w:type="dxa"/>
          </w:tcPr>
          <w:p w:rsidR="00F84DF4" w:rsidRPr="00615820" w:rsidRDefault="00F84DF4" w:rsidP="00AE2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 холодного водоснабжения, </w:t>
            </w:r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л/сут. на 1 жит.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AE2CD5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Норма водопотребления при застройке здания</w:t>
            </w:r>
            <w:r w:rsidR="00CB23A5" w:rsidRPr="00615820">
              <w:rPr>
                <w:rFonts w:ascii="Times New Roman" w:hAnsi="Times New Roman" w:cs="Times New Roman"/>
                <w:sz w:val="26"/>
                <w:szCs w:val="26"/>
              </w:rPr>
              <w:t>ми, оборудованными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внутренним водопроводом и канализацией без ванн</w:t>
            </w:r>
          </w:p>
        </w:tc>
        <w:tc>
          <w:tcPr>
            <w:tcW w:w="4673" w:type="dxa"/>
          </w:tcPr>
          <w:p w:rsidR="00F84DF4" w:rsidRPr="00615820" w:rsidRDefault="00AE2CD5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CB23A5" w:rsidP="00CB23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зданиями, оборудованными внутренним водопроводом и канализацией </w:t>
            </w:r>
            <w:r w:rsidR="00F61B37" w:rsidRPr="00615820">
              <w:rPr>
                <w:rFonts w:ascii="Times New Roman" w:hAnsi="Times New Roman" w:cs="Times New Roman"/>
                <w:sz w:val="26"/>
                <w:szCs w:val="26"/>
              </w:rPr>
              <w:t>с ваннами и водонагревателям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F61B37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централизованным водоснабжением 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</w:tr>
    </w:tbl>
    <w:p w:rsidR="00943A0E" w:rsidRPr="00615820" w:rsidRDefault="00943A0E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A0E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Показатели следует принимать по проекту, согласно СП 42.13330. 2011, но не более указанных в таблице. </w:t>
      </w:r>
    </w:p>
    <w:p w:rsidR="00943A0E" w:rsidRPr="00615820" w:rsidRDefault="00755900" w:rsidP="00943A0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1.1.10. Расчетные показатели объектов, относящихся к области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615820" w:rsidRPr="00615820" w:rsidTr="000C4123">
        <w:tc>
          <w:tcPr>
            <w:tcW w:w="988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4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988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4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общественными зданиями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D61CD" w:rsidRPr="00615820" w:rsidRDefault="00755900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Водоотведение от индивидуальных жилых домов допускается индивидуальное в локальные очистные сооружения, септики, выгреба.</w:t>
      </w:r>
    </w:p>
    <w:p w:rsidR="00CB23A5" w:rsidRPr="00615820" w:rsidRDefault="00CB23A5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1.1.11.Размеры земельных участков для очистных сооружений канализации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очистных сооружений канализации (в зависимости от производительности), тыс. м3 /сут.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0,7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св. 0,7 до 17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0D61CD" w:rsidRPr="00615820" w:rsidRDefault="000D61CD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1.1.12.Расстояния по горизонтали (в свету) от ближайших подземных инженерных сетей до зданий и сооружений (показатель максимально допустимого уровня территориальной доступности)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37"/>
        <w:gridCol w:w="1423"/>
        <w:gridCol w:w="1141"/>
        <w:gridCol w:w="1131"/>
        <w:gridCol w:w="532"/>
        <w:gridCol w:w="886"/>
      </w:tblGrid>
      <w:tr w:rsidR="00615820" w:rsidRPr="00615820" w:rsidTr="00CB23A5">
        <w:tc>
          <w:tcPr>
            <w:tcW w:w="1809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Инженерные сети</w:t>
            </w:r>
          </w:p>
        </w:tc>
        <w:tc>
          <w:tcPr>
            <w:tcW w:w="1134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зданий и сооружений</w:t>
            </w:r>
          </w:p>
        </w:tc>
        <w:tc>
          <w:tcPr>
            <w:tcW w:w="1437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423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1141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наружной бровки кювета или подошвы насыпи дороги</w:t>
            </w:r>
          </w:p>
        </w:tc>
        <w:tc>
          <w:tcPr>
            <w:tcW w:w="2549" w:type="dxa"/>
            <w:gridSpan w:val="3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опор воздушных линий электропередачи напряжением</w:t>
            </w:r>
          </w:p>
        </w:tc>
      </w:tr>
      <w:tr w:rsidR="00615820" w:rsidRPr="00615820" w:rsidTr="00CB23A5">
        <w:tc>
          <w:tcPr>
            <w:tcW w:w="1809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до 1 кВ наружного освещения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1 до 35 кВ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35 до 110 кВ и выше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Водопровод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Самотечная канализация (бытовая)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Кабели силовые всех напряжений и кабели связи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7545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Каналы, коммуникационные тоннели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B23A5" w:rsidRPr="00615820" w:rsidRDefault="00CB23A5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46E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5BE7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Относится к расстояниям только от силовых кабелей.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учетом зоны возможного нарушения прочности грунтов оснований.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1.2 Расчётные показатели минимально допустимого уровня обеспеченности объектами местного значения сельского поселения в области транспорта (автомобильные дороги местного значения)</w:t>
      </w: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таблице1.2.1 </w:t>
      </w:r>
    </w:p>
    <w:p w:rsidR="006F5BE7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1.2.1</w:t>
      </w:r>
      <w:r w:rsidR="00F61B37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параметры улиц и дорог различных категорий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116"/>
        <w:gridCol w:w="1152"/>
        <w:gridCol w:w="1152"/>
        <w:gridCol w:w="1401"/>
        <w:gridCol w:w="1379"/>
        <w:gridCol w:w="1329"/>
      </w:tblGrid>
      <w:tr w:rsidR="00615820" w:rsidRPr="00615820" w:rsidTr="0018538B">
        <w:tc>
          <w:tcPr>
            <w:tcW w:w="19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0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км/ч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1367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1346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уклон, </w:t>
            </w:r>
            <w:r w:rsidR="0018538B" w:rsidRPr="006158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7353" w:type="dxa"/>
            <w:gridSpan w:val="6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20" w:rsidRPr="00615820" w:rsidTr="00107C19">
        <w:trPr>
          <w:trHeight w:val="513"/>
        </w:trPr>
        <w:tc>
          <w:tcPr>
            <w:tcW w:w="19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жилой застройке</w:t>
            </w:r>
          </w:p>
        </w:tc>
        <w:tc>
          <w:tcPr>
            <w:tcW w:w="10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8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5820" w:rsidRPr="00615820" w:rsidTr="00D74BDC">
        <w:trPr>
          <w:trHeight w:val="1196"/>
        </w:trPr>
        <w:tc>
          <w:tcPr>
            <w:tcW w:w="19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общественно-деловых и торговых зонах</w:t>
            </w:r>
          </w:p>
        </w:tc>
        <w:tc>
          <w:tcPr>
            <w:tcW w:w="10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и дороги в производственных зонах</w:t>
            </w:r>
          </w:p>
        </w:tc>
        <w:tc>
          <w:tcPr>
            <w:tcW w:w="10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6F5BE7" w:rsidRPr="00615820" w:rsidRDefault="0018538B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110/140</w:t>
            </w:r>
          </w:p>
        </w:tc>
        <w:tc>
          <w:tcPr>
            <w:tcW w:w="1346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Хозяйственный проезд, скотопрогоны </w:t>
            </w:r>
          </w:p>
        </w:tc>
        <w:tc>
          <w:tcPr>
            <w:tcW w:w="10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820" w:rsidRPr="00615820" w:rsidTr="00107C19">
        <w:trPr>
          <w:trHeight w:val="244"/>
        </w:trPr>
        <w:tc>
          <w:tcPr>
            <w:tcW w:w="9345" w:type="dxa"/>
            <w:gridSpan w:val="7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  <w:tc>
          <w:tcPr>
            <w:tcW w:w="10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367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проекту</w:t>
            </w:r>
          </w:p>
        </w:tc>
      </w:tr>
    </w:tbl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дальность пешеходных подходов к ближайшей остановке общественного</w:t>
      </w:r>
      <w:r w:rsidR="00733E4F" w:rsidRPr="00615820">
        <w:rPr>
          <w:rFonts w:ascii="Times New Roman" w:hAnsi="Times New Roman" w:cs="Times New Roman"/>
          <w:sz w:val="26"/>
          <w:szCs w:val="26"/>
        </w:rPr>
        <w:t xml:space="preserve"> транспорта должна быть не более 800 м.</w:t>
      </w:r>
    </w:p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E56" w:rsidRPr="00615820" w:rsidRDefault="007A4E56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</w:r>
      <w:r w:rsidR="00D8324B">
        <w:rPr>
          <w:rFonts w:ascii="Times New Roman" w:hAnsi="Times New Roman" w:cs="Times New Roman"/>
          <w:b/>
          <w:sz w:val="26"/>
          <w:szCs w:val="26"/>
        </w:rPr>
        <w:t>Новогоряновского</w:t>
      </w:r>
      <w:r w:rsidR="005326AF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7A4E56" w:rsidRPr="00615820" w:rsidRDefault="00755900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</w:t>
      </w:r>
      <w:r w:rsidR="00F749FE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1.3.1.</w:t>
      </w:r>
    </w:p>
    <w:p w:rsidR="007A4E56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Таблица 1.3.1.Расчетные показатели объектов в области физической культуры и массового спорта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19"/>
        <w:gridCol w:w="1492"/>
        <w:gridCol w:w="1242"/>
        <w:gridCol w:w="2630"/>
        <w:gridCol w:w="1242"/>
      </w:tblGrid>
      <w:tr w:rsidR="00615820" w:rsidRPr="00615820" w:rsidTr="000C4123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116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м² общ. площади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чел./смену на 100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vMerge w:val="restart"/>
          </w:tcPr>
          <w:p w:rsidR="007A4E56" w:rsidRPr="00615820" w:rsidRDefault="00FA40DC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спортивные сооружения административного центра поселения (многофункциональная спортивная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площадка) – для населения всего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FA4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E56" w:rsidRPr="00615820" w:rsidRDefault="007A4E56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C6775" w:rsidRPr="00615820" w:rsidRDefault="00DC6775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иных областях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сельского поселения в различных сферах. Расчетные показатели для объектов местного значения в иных областях (в области образования, здравоохранения, культуры, жилищного строительства, сельского хозяйства), представлены в п. 1.4.1. – 1.4.4. местных нормативов градостроительного проектирования.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Показатели и нормативные требования для объектов в области утилизации и переработки отходов, рекреации, объектов промышленного и коммунально-складского назначения, показатели в области предупреждения чрезвычайных ситуаций, в сфере инженерной подготовки и защиты территорий, учета потребносте</w:t>
      </w:r>
      <w:r w:rsidR="00DC6775" w:rsidRPr="00615820">
        <w:rPr>
          <w:rFonts w:ascii="Times New Roman" w:hAnsi="Times New Roman" w:cs="Times New Roman"/>
          <w:sz w:val="26"/>
          <w:szCs w:val="26"/>
        </w:rPr>
        <w:t>й маломобильных групп населения.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1.4.1 Расчётные показатели в области образования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для объектов местного значения в области образования представлены в таблице 1.4.1.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51"/>
        <w:gridCol w:w="1632"/>
        <w:gridCol w:w="1199"/>
        <w:gridCol w:w="2569"/>
        <w:gridCol w:w="1382"/>
      </w:tblGrid>
      <w:tr w:rsidR="00615820" w:rsidRPr="00615820" w:rsidTr="000C4123">
        <w:tc>
          <w:tcPr>
            <w:tcW w:w="56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3116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DC6775">
        <w:tc>
          <w:tcPr>
            <w:tcW w:w="56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0C4123" w:rsidP="007B2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  <w:r w:rsidR="007B214D"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на 1 объект, чел.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8" w:type="dxa"/>
          </w:tcPr>
          <w:p w:rsidR="00DC6775" w:rsidRPr="00615820" w:rsidRDefault="000C4123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нспортнопешеходная доступность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, мин.</w:t>
            </w:r>
          </w:p>
        </w:tc>
        <w:tc>
          <w:tcPr>
            <w:tcW w:w="1558" w:type="dxa"/>
          </w:tcPr>
          <w:p w:rsidR="00DC6775" w:rsidRPr="00615820" w:rsidRDefault="00050C3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 воспитанников на 1 объект, чел.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58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558" w:type="dxa"/>
          </w:tcPr>
          <w:p w:rsidR="00DC6775" w:rsidRPr="00615820" w:rsidRDefault="002A356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(для начального образования не более 2000)</w:t>
            </w:r>
          </w:p>
        </w:tc>
      </w:tr>
    </w:tbl>
    <w:p w:rsidR="00DC6775" w:rsidRPr="00615820" w:rsidRDefault="00DC6775" w:rsidP="000C4B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>Объекты возможно формировать на базе или при объектах общего образова</w:t>
      </w:r>
      <w:r w:rsidR="00050C35" w:rsidRPr="00615820">
        <w:rPr>
          <w:rFonts w:ascii="Times New Roman" w:hAnsi="Times New Roman" w:cs="Times New Roman"/>
          <w:sz w:val="26"/>
          <w:szCs w:val="26"/>
        </w:rPr>
        <w:t>ния.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Объекты формируются в административном центре поселения. </w:t>
      </w:r>
    </w:p>
    <w:p w:rsidR="00050C35" w:rsidRPr="00615820" w:rsidRDefault="00050C35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1.4.2 Расчётные показатели в области здравоохранения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Расчетные показатели определены в соответствии с Региональными нормативами градостроительного проектирования.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для объектов местного значения в области здравоохранения представлены в таблице 1.4.2. Таблица 1.4.2.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879"/>
        <w:gridCol w:w="1705"/>
        <w:gridCol w:w="1325"/>
        <w:gridCol w:w="2870"/>
        <w:gridCol w:w="1325"/>
      </w:tblGrid>
      <w:tr w:rsidR="00615820" w:rsidRPr="00615820" w:rsidTr="00100FF6">
        <w:tc>
          <w:tcPr>
            <w:tcW w:w="467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9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030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195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100FF6">
        <w:tc>
          <w:tcPr>
            <w:tcW w:w="467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100FF6">
        <w:tc>
          <w:tcPr>
            <w:tcW w:w="467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100FF6" w:rsidRPr="00615820" w:rsidRDefault="00100FF6" w:rsidP="00100F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Амбулатории, в т.ч. врачебные, или центры (отделения) общей врачебной практики (семейной медицины)</w:t>
            </w:r>
          </w:p>
        </w:tc>
        <w:tc>
          <w:tcPr>
            <w:tcW w:w="170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Численность обслуживаемого населения, тыс. чел. на 1 объект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Транспортная, мин.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100FF6">
        <w:tc>
          <w:tcPr>
            <w:tcW w:w="467" w:type="dxa"/>
          </w:tcPr>
          <w:p w:rsidR="000C4123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Кол-во, объект на поселение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:rsidR="005326AF" w:rsidRPr="00615820" w:rsidRDefault="005326AF" w:rsidP="002A3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Расчетные показатели для объектов местного значения в области культуры </w:t>
      </w:r>
    </w:p>
    <w:p w:rsidR="00D077D4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1.4.3.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954"/>
        <w:gridCol w:w="1492"/>
        <w:gridCol w:w="1355"/>
        <w:gridCol w:w="2489"/>
        <w:gridCol w:w="1808"/>
      </w:tblGrid>
      <w:tr w:rsidR="00615820" w:rsidRPr="00615820" w:rsidTr="00067672">
        <w:trPr>
          <w:jc w:val="center"/>
        </w:trPr>
        <w:tc>
          <w:tcPr>
            <w:tcW w:w="473" w:type="dxa"/>
            <w:vMerge w:val="restart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54" w:type="dxa"/>
            <w:vMerge w:val="restart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847" w:type="dxa"/>
            <w:gridSpan w:val="2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297" w:type="dxa"/>
            <w:gridSpan w:val="2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067672">
        <w:trPr>
          <w:jc w:val="center"/>
        </w:trPr>
        <w:tc>
          <w:tcPr>
            <w:tcW w:w="473" w:type="dxa"/>
            <w:vMerge/>
          </w:tcPr>
          <w:p w:rsidR="00063AC3" w:rsidRPr="00615820" w:rsidRDefault="00063AC3" w:rsidP="00063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4" w:type="dxa"/>
            <w:vMerge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55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489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8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67672">
        <w:trPr>
          <w:trHeight w:val="1805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D077D4" w:rsidRPr="00615820" w:rsidRDefault="003D79F4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Сельские дом культуры</w:t>
            </w:r>
          </w:p>
        </w:tc>
        <w:tc>
          <w:tcPr>
            <w:tcW w:w="1492" w:type="dxa"/>
          </w:tcPr>
          <w:p w:rsidR="00D077D4" w:rsidRPr="00615820" w:rsidRDefault="003D79F4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E03D5E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2A3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Транспортнопешеходная доступность,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077D4" w:rsidRPr="00615820" w:rsidTr="00067672">
        <w:trPr>
          <w:trHeight w:val="2256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54" w:type="dxa"/>
          </w:tcPr>
          <w:p w:rsidR="00D077D4" w:rsidRPr="00615820" w:rsidRDefault="00F749FE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Общедоступная библиотека</w:t>
            </w:r>
          </w:p>
        </w:tc>
        <w:tc>
          <w:tcPr>
            <w:tcW w:w="1492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077D4" w:rsidRPr="00615820" w:rsidRDefault="00D077D4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D5E" w:rsidRPr="00615820" w:rsidRDefault="00E03D5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</w:rPr>
      </w:pP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Примечание:</w:t>
      </w: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1.Допускается размещение отдельно стоящих, встроенных или пристроенных объектов культуры и искусства в составе жилых зон и отдельно стоящих объектов культуры и искусства в составе общественно-деловых и рекреационных зон.</w:t>
      </w:r>
    </w:p>
    <w:p w:rsidR="003D79F4" w:rsidRPr="00615820" w:rsidRDefault="00F749F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lastRenderedPageBreak/>
        <w:t>2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. В целях обеспечения доступности 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3D79F4" w:rsidRPr="00615820" w:rsidRDefault="00F733D8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 xml:space="preserve">5. На базе общедоступных 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библиотек необходимо организовывать точку доступа к полнотекстовым информационным ресурсам. Для организации точки доступа к полнотекстовым информационным ресурсам в библиотеке оборудуется место с выходом в информационно-телекоммуникационную сеть Интернет и предоставлением доступа к оцифрованным полнотекстовым информационным ресурсам в соответствии с законодательством Российско</w:t>
      </w:r>
      <w:r w:rsidR="00E03D5E" w:rsidRPr="00615820">
        <w:rPr>
          <w:rFonts w:ascii="Times New Roman" w:eastAsia="GungsuhChe" w:hAnsi="Times New Roman" w:cs="Times New Roman"/>
          <w:sz w:val="26"/>
          <w:szCs w:val="26"/>
        </w:rPr>
        <w:t>й Федерации о библиотечном деле</w:t>
      </w:r>
    </w:p>
    <w:p w:rsidR="002A3563" w:rsidRPr="00615820" w:rsidRDefault="002A3563" w:rsidP="00E03D5E">
      <w:pPr>
        <w:spacing w:after="0"/>
        <w:jc w:val="both"/>
        <w:rPr>
          <w:rFonts w:ascii="Times New Roman" w:eastAsia="GungsuhChe" w:hAnsi="Times New Roman" w:cs="Times New Roman"/>
          <w:sz w:val="26"/>
          <w:szCs w:val="26"/>
        </w:rPr>
      </w:pPr>
    </w:p>
    <w:p w:rsidR="00F1570D" w:rsidRPr="00615820" w:rsidRDefault="00755900" w:rsidP="00E03D5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1.4.4 Расчётные показатели в области жилищного строительства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Площадь предоставляемых земельных участков под индивидуальное жилищное строительство: минимальная площадь </w:t>
      </w:r>
      <w:r w:rsidR="002A3563" w:rsidRPr="00615820">
        <w:rPr>
          <w:rFonts w:ascii="Times New Roman" w:hAnsi="Times New Roman" w:cs="Times New Roman"/>
          <w:sz w:val="26"/>
          <w:szCs w:val="26"/>
        </w:rPr>
        <w:t>5</w:t>
      </w:r>
      <w:r w:rsidRPr="00615820">
        <w:rPr>
          <w:rFonts w:ascii="Times New Roman" w:hAnsi="Times New Roman" w:cs="Times New Roman"/>
          <w:sz w:val="26"/>
          <w:szCs w:val="26"/>
        </w:rPr>
        <w:t>00</w:t>
      </w:r>
      <w:r w:rsidR="002A356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м</w:t>
      </w:r>
      <w:r w:rsidR="00F1570D" w:rsidRPr="00615820">
        <w:rPr>
          <w:rFonts w:ascii="Times New Roman" w:hAnsi="Times New Roman" w:cs="Times New Roman"/>
          <w:sz w:val="26"/>
          <w:szCs w:val="26"/>
        </w:rPr>
        <w:t>2 , максимальная площадь 1500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F1570D" w:rsidRPr="00615820">
        <w:rPr>
          <w:rFonts w:ascii="Times New Roman" w:hAnsi="Times New Roman" w:cs="Times New Roman"/>
          <w:sz w:val="26"/>
          <w:szCs w:val="26"/>
        </w:rPr>
        <w:t>м2</w:t>
      </w:r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правил, нормами освещенности, приведенными в СП 52.13330.2011, а также в соответствии с противопожарными требованиями.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менее, м: до стены жилого дома - 3; до хозяйственных построек - 1. При отсутствии централизованной канализации расстояние от туалета до стен соседнего дома необходимо принимать не менее 1</w:t>
      </w:r>
      <w:r w:rsidR="0003428F" w:rsidRPr="00615820">
        <w:rPr>
          <w:rFonts w:ascii="Times New Roman" w:hAnsi="Times New Roman" w:cs="Times New Roman"/>
          <w:sz w:val="26"/>
          <w:szCs w:val="26"/>
        </w:rPr>
        <w:t>0</w:t>
      </w:r>
      <w:r w:rsidRPr="00615820">
        <w:rPr>
          <w:rFonts w:ascii="Times New Roman" w:hAnsi="Times New Roman" w:cs="Times New Roman"/>
          <w:sz w:val="26"/>
          <w:szCs w:val="26"/>
        </w:rPr>
        <w:t xml:space="preserve"> м, до источника водоснабжения (колодца) - не менее 25 м. </w:t>
      </w:r>
    </w:p>
    <w:p w:rsidR="00F1570D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 и градостроительных регламентах, устанавливаемых в Правилах землепользования и застройки. </w:t>
      </w:r>
    </w:p>
    <w:p w:rsidR="00374999" w:rsidRDefault="00374999" w:rsidP="00374999">
      <w:pPr>
        <w:pStyle w:val="ConsPlusNormal"/>
        <w:ind w:firstLine="708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374999">
        <w:rPr>
          <w:rFonts w:ascii="Times New Roman" w:hAnsi="Times New Roman" w:cs="Times New Roman"/>
          <w:b/>
          <w:sz w:val="26"/>
          <w:szCs w:val="26"/>
        </w:rPr>
        <w:t>1.4.5. Расчетные показатели муниципальных мест погребения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1418"/>
        <w:gridCol w:w="850"/>
        <w:gridCol w:w="851"/>
        <w:gridCol w:w="1843"/>
        <w:gridCol w:w="992"/>
        <w:gridCol w:w="1984"/>
      </w:tblGrid>
      <w:tr w:rsidR="00374999" w:rsidRPr="005F3E9D" w:rsidTr="00374999">
        <w:tc>
          <w:tcPr>
            <w:tcW w:w="9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объектов</w:t>
            </w:r>
          </w:p>
        </w:tc>
        <w:tc>
          <w:tcPr>
            <w:tcW w:w="850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Нормируемые показатели, ед. изм.</w:t>
            </w:r>
          </w:p>
        </w:tc>
        <w:tc>
          <w:tcPr>
            <w:tcW w:w="14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территорий</w:t>
            </w:r>
          </w:p>
        </w:tc>
        <w:tc>
          <w:tcPr>
            <w:tcW w:w="6520" w:type="dxa"/>
            <w:gridSpan w:val="5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Расчетные показатели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минимально допустимого уровня обеспеченности</w:t>
            </w:r>
          </w:p>
        </w:tc>
        <w:tc>
          <w:tcPr>
            <w:tcW w:w="4819" w:type="dxa"/>
            <w:gridSpan w:val="3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максимально допустимого уровня территориальной доступности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851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  <w:tc>
          <w:tcPr>
            <w:tcW w:w="1843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вид доступности, ед. изм.</w:t>
            </w:r>
          </w:p>
        </w:tc>
        <w:tc>
          <w:tcPr>
            <w:tcW w:w="992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1984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Кладбище традиционного захорон</w:t>
            </w:r>
            <w:r w:rsidRPr="005F3E9D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Площадь объекта на кажду</w:t>
            </w:r>
            <w:r w:rsidRPr="005F3E9D">
              <w:rPr>
                <w:rFonts w:ascii="Times New Roman" w:hAnsi="Times New Roman" w:cs="Times New Roman"/>
              </w:rPr>
              <w:lastRenderedPageBreak/>
              <w:t>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819" w:type="dxa"/>
            <w:gridSpan w:val="3"/>
            <w:vMerge w:val="restart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Кладбище урновых захоронений после кремации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Площадь объекта на каждую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gridSpan w:val="3"/>
            <w:vMerge/>
          </w:tcPr>
          <w:p w:rsidR="00374999" w:rsidRPr="005F3E9D" w:rsidRDefault="00374999" w:rsidP="00374999">
            <w:pPr>
              <w:rPr>
                <w:rFonts w:ascii="Times New Roman" w:hAnsi="Times New Roman" w:cs="Times New Roman"/>
              </w:rPr>
            </w:pPr>
          </w:p>
        </w:tc>
      </w:tr>
    </w:tbl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F733D8" w:rsidRPr="00615820" w:rsidRDefault="00F733D8" w:rsidP="00374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 МАТЕРИАЛЫ ПО ОБОСНОВАНИЮ РАСЧЕТНЫХ ПОКАЗАТЕЛЕЙ, СОДЕРЖАЩИХСЯ В ОСНОВНОЙ ЧАСТИ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в соответствии с действующими федеральными и </w:t>
      </w:r>
      <w:r w:rsidR="0003428F" w:rsidRPr="00615820">
        <w:rPr>
          <w:rFonts w:ascii="Times New Roman" w:hAnsi="Times New Roman" w:cs="Times New Roman"/>
          <w:sz w:val="26"/>
          <w:szCs w:val="26"/>
        </w:rPr>
        <w:t>областными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в области регулирования вопросов градостроительной деятельности и полномочий, на основании параметров и условий социально-экономического развития 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 и </w:t>
      </w:r>
      <w:r w:rsidR="0003428F" w:rsidRPr="00615820">
        <w:rPr>
          <w:rFonts w:ascii="Times New Roman" w:hAnsi="Times New Roman" w:cs="Times New Roman"/>
          <w:sz w:val="26"/>
          <w:szCs w:val="26"/>
        </w:rPr>
        <w:t>сельского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3428F" w:rsidRPr="00615820">
        <w:rPr>
          <w:rFonts w:ascii="Times New Roman" w:hAnsi="Times New Roman" w:cs="Times New Roman"/>
          <w:sz w:val="26"/>
          <w:szCs w:val="26"/>
        </w:rPr>
        <w:t>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региона,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</w:t>
      </w:r>
      <w:r w:rsidR="0003428F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части формирования объектов местного значения сельского поселения.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050C35" w:rsidRPr="00615820">
        <w:rPr>
          <w:rFonts w:ascii="Times New Roman" w:hAnsi="Times New Roman" w:cs="Times New Roman"/>
          <w:sz w:val="26"/>
          <w:szCs w:val="26"/>
        </w:rPr>
        <w:t>:</w:t>
      </w:r>
      <w:r w:rsidR="00F1570D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C4" w:rsidRPr="00615820" w:rsidRDefault="00256445" w:rsidP="0005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2.1.1.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электропотреб</w:t>
      </w:r>
      <w:r w:rsidR="00050C35" w:rsidRPr="00615820">
        <w:rPr>
          <w:rFonts w:ascii="Times New Roman" w:hAnsi="Times New Roman" w:cs="Times New Roman"/>
          <w:b/>
          <w:sz w:val="26"/>
          <w:szCs w:val="26"/>
        </w:rPr>
        <w:t>ления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8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9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10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утвержденного </w:t>
      </w:r>
      <w:hyperlink r:id="rId11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 (далее - СП 31-110-2003);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4) </w:t>
      </w:r>
      <w:hyperlink r:id="rId12" w:history="1">
        <w:r w:rsidRPr="00615820">
          <w:rPr>
            <w:rFonts w:ascii="Times New Roman" w:hAnsi="Times New Roman" w:cs="Times New Roman"/>
            <w:sz w:val="26"/>
            <w:szCs w:val="26"/>
          </w:rPr>
          <w:t>НТП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ЭПП-94 Проектирование электроснабжения промышленных предприятий. Нормы технологического проектирования;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5) Утратил силу. - </w:t>
      </w:r>
      <w:hyperlink r:id="rId13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6) Правил устройства электроустановок (ПУЭ 6-е и 7-е издание).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Расход электроэнергии и потребность в мощности источников следует определять: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для производственных и сельскохозяйственных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для жилищно-коммунального сектора - в соответствии с РД 34.20.185-94 (с учетом изменений и дополнений к </w:t>
      </w:r>
      <w:hyperlink r:id="rId14" w:history="1">
        <w:r w:rsidRPr="00615820">
          <w:rPr>
            <w:rFonts w:ascii="Times New Roman" w:hAnsi="Times New Roman" w:cs="Times New Roman"/>
            <w:sz w:val="26"/>
            <w:szCs w:val="26"/>
          </w:rPr>
          <w:t>разделу 2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"Расчетные электрические нагрузки"), </w:t>
      </w:r>
      <w:hyperlink r:id="rId15" w:history="1">
        <w:r w:rsidRPr="00615820">
          <w:rPr>
            <w:rFonts w:ascii="Times New Roman" w:hAnsi="Times New Roman" w:cs="Times New Roman"/>
            <w:sz w:val="26"/>
            <w:szCs w:val="26"/>
          </w:rPr>
          <w:t>СП 31-110-2003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>, а также с учетом Нормативов.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Примечания: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2.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Нормы электропотребления и использования максимума электрической нагрузки следует применять в целях градостроительного проектирования в качестве укрупненных показателей электропотребления.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4. Расчет электрических нагрузок для разных типов застройки следует производить в соответствии с нормами </w:t>
      </w:r>
      <w:hyperlink r:id="rId16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максимально допустимого уровня территориальной доступности объектами электроснабжения для населения Ивановской области.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электроснабжения не нормируется в связи с тем, что население непосредственно объектами электроснабжения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2.1.2.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теплоснабжения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17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Строительных </w:t>
      </w:r>
      <w:hyperlink r:id="rId18" w:history="1">
        <w:r w:rsidRPr="00615820">
          <w:rPr>
            <w:rFonts w:ascii="Times New Roman" w:hAnsi="Times New Roman" w:cs="Times New Roman"/>
            <w:sz w:val="26"/>
            <w:szCs w:val="26"/>
          </w:rPr>
          <w:t>норм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 "Тепловые сети", введенных в действие </w:t>
      </w:r>
      <w:hyperlink r:id="rId1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№ 110 (далее - СНиП 41-02-2003).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Основными потребителями тепловой энергии в Ивановской области являются жилищно-коммунальный сектор, включая объекты социальной сферы, и промышленные предприятия.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Тепловые нагрузки потребителей для существующих зданий жилищно-коммунального сектора и действующих промышленных предприятий согласно </w:t>
      </w:r>
      <w:hyperlink r:id="rId20" w:history="1">
        <w:r w:rsidRPr="00615820">
          <w:rPr>
            <w:rFonts w:ascii="Times New Roman" w:hAnsi="Times New Roman" w:cs="Times New Roman"/>
            <w:sz w:val="26"/>
            <w:szCs w:val="26"/>
          </w:rPr>
          <w:t>СНиП 41-02-2003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следует определять по проектам с уточнением по фактическим тепловым нагрузкам.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 расчете удельных часовых расходов тепловой энергии на отопление (ккал/час/м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>, 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15820">
        <w:rPr>
          <w:rFonts w:ascii="Times New Roman" w:hAnsi="Times New Roman" w:cs="Times New Roman"/>
          <w:sz w:val="26"/>
          <w:szCs w:val="26"/>
        </w:rPr>
        <w:t>) этих типов зданий полученная величина нормируемого удельного годового расхода тепловой энергии на отопление зданий базового уровня в кВт·ч/ (м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год) снижается на 30% для построек с 2016 года и на 40% для построек с 2020 года согласно требованиям повышения энергетической эффективности зданий.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теплоснабжения не нормируется в связи с тем, что население непосредственно объектами теплоснабжения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2.1.3.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газоснабжения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 </w:t>
      </w:r>
      <w:hyperlink r:id="rId21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"СНиП 42-01-2002 "Газораспределительные системы", утвержденного </w:t>
      </w:r>
      <w:hyperlink r:id="rId22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№ 780 (СП 62.13330.2011).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Основная доля перспективных объемов потребляемого газа приходится на теплоэнергетические объекты.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Расход газа на источники тепла должен учитываться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газоснабжения не нормируется в связи с тем, что население непосредственно объектами газоснабжения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2.1.4.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для объектов водоснабжения и водоотведения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23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24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принятого </w:t>
      </w:r>
      <w:hyperlink r:id="rId25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хозяйственно-питьевого водопотребления в населенном пункте на одного человека (среднесуточное) (за год).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hyperlink r:id="rId26" w:history="1">
        <w:r w:rsidRPr="00615820">
          <w:rPr>
            <w:rFonts w:ascii="Times New Roman" w:hAnsi="Times New Roman" w:cs="Times New Roman"/>
            <w:sz w:val="26"/>
            <w:szCs w:val="26"/>
          </w:rPr>
          <w:t>Своде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утвержденном </w:t>
      </w:r>
      <w:hyperlink r:id="rId27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hyperlink r:id="rId28" w:history="1">
        <w:r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утвержденному </w:t>
      </w:r>
      <w:hyperlink r:id="rId29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951/пр, и технологическим данным.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10 - 20% от суммарного расхода воды на хозяйственно-питьевые нужды населенного пункта.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Удельный расход воды на поливку городских зеленых насаждений принимается равным 50 л/сут. на 1 жителя.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Расход воды на наружное водоснабжение определяется расчетом по СП 8.13130.2009 "Системы противопожарной защиты. Источники наружного противопожарного водоснабжения. Требования пожарной безопасности" </w:t>
      </w:r>
      <w:hyperlink r:id="rId30" w:history="1">
        <w:r w:rsidRPr="00615820">
          <w:rPr>
            <w:rFonts w:ascii="Times New Roman" w:hAnsi="Times New Roman" w:cs="Times New Roman"/>
            <w:sz w:val="26"/>
            <w:szCs w:val="26"/>
          </w:rPr>
          <w:t>(таблица 1)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D2623E" w:rsidRPr="00615820" w:rsidRDefault="003C7CC4" w:rsidP="00A0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водоснабжения и водоотведения не нормируется в связи с тем, что население непосредственно объектами водоснабжения и водоотведения не пользуется.</w:t>
      </w:r>
    </w:p>
    <w:p w:rsidR="00D2623E" w:rsidRPr="00615820" w:rsidRDefault="00D2623E" w:rsidP="0025644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256445"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Автомобильные дороги местного значения</w:t>
      </w:r>
    </w:p>
    <w:p w:rsidR="00256445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автодорог и транспортного обслуживания определяются в соответствии с Федеральным </w:t>
      </w:r>
      <w:hyperlink r:id="rId31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2623E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части автодорог местного значения нормируется плотность магистральной улично-дорожной сети в населенных пунктах городского типа. Минимальный расчетный показатель такой плотности равен 2 км/км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что обусловлено радиусом доступности остановок общественного транспорта. Данный показатель приведен в </w:t>
      </w:r>
      <w:hyperlink r:id="rId3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Рекомендациях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дорог, городов и сельских поселений, разработанных ЦНИИП градостроительства Минстроя России в 1994 году. С учетом положений </w:t>
      </w:r>
      <w:hyperlink r:id="rId33" w:history="1">
        <w:r w:rsidRPr="00615820">
          <w:rPr>
            <w:rFonts w:ascii="Times New Roman" w:hAnsi="Times New Roman" w:cs="Times New Roman"/>
            <w:sz w:val="26"/>
            <w:szCs w:val="26"/>
          </w:rPr>
          <w:t>пункта 11.24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 в районах индивидуальной усадебной застройки дальность пешеходных подходов к ближайшей остановке общественного транспорта может быть до 800 м.</w:t>
      </w:r>
    </w:p>
    <w:p w:rsidR="00A06EB0" w:rsidRPr="00615820" w:rsidRDefault="00815084" w:rsidP="00A06EB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A06EB0" w:rsidRPr="00615820">
        <w:rPr>
          <w:rFonts w:ascii="Times New Roman" w:hAnsi="Times New Roman" w:cs="Times New Roman"/>
          <w:b/>
          <w:sz w:val="26"/>
          <w:szCs w:val="26"/>
        </w:rPr>
        <w:t>3. Объекты массового спорта</w:t>
      </w:r>
    </w:p>
    <w:p w:rsidR="00815084" w:rsidRPr="00615820" w:rsidRDefault="00A06EB0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физкультуры и спорта определяются в соответствии с Федеральным </w:t>
      </w:r>
      <w:hyperlink r:id="rId34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Для определения расчетных показателей объектов спорта использовались </w:t>
      </w:r>
      <w:hyperlink r:id="rId35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6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Рекомендациями-586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потребность в объектах спорта определяется исходя из уровня обеспеченности, который к 2030 году, по предварительным оценкам, достигнет 100%, а также гарантированного объема оказываемых гражданам государственных услуг в сфере физической культуры и спорта.</w:t>
      </w:r>
    </w:p>
    <w:p w:rsidR="00A06EB0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>В основу определения потребности населения в объектах физкультуры и спорта положен нормируемый показатель - единовременная пропускная способность объектов физкультуры и спорта (ЕПС</w:t>
      </w:r>
      <w:r w:rsidR="00A06EB0" w:rsidRPr="00615820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), которая в </w:t>
      </w:r>
      <w:hyperlink r:id="rId37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обоснована в размере 12,2% от населения нормируемой территории, или 122 чел. на 1000 жит. Методика расчета единовременной пропускной способности приведена в </w:t>
      </w:r>
      <w:hyperlink r:id="rId38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 Муниципальные 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образования определяются в соответствии с Федеральным </w:t>
      </w:r>
      <w:hyperlink r:id="rId39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Федерации".Для обоснования расчетных параметров использовались </w:t>
      </w:r>
      <w:hyperlink r:id="rId40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2.4.1.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Общеобразовательные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hyperlink r:id="rId41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 устанавливается норма размещения не менее одной дневной общеобразовательной школы в сельской местности - на 201 человека. Территориальная доступность определяется </w:t>
      </w:r>
      <w:hyperlink r:id="rId42" w:history="1">
        <w:r w:rsidRPr="00615820">
          <w:rPr>
            <w:rFonts w:ascii="Times New Roman" w:hAnsi="Times New Roman" w:cs="Times New Roman"/>
            <w:sz w:val="26"/>
            <w:szCs w:val="26"/>
          </w:rPr>
          <w:t>пунктами 2.4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3" w:history="1">
        <w:r w:rsidRPr="0061582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нормативов СанПиН 2.4.2.2821-10 "Санитарно-эпидемиологические требования к условиям и организации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815084" w:rsidRPr="00615820" w:rsidRDefault="00815084" w:rsidP="007B214D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2.4.2.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>Дошкольные образовательные организации</w:t>
      </w:r>
    </w:p>
    <w:p w:rsidR="00815084" w:rsidRPr="00615820" w:rsidRDefault="00815084" w:rsidP="0081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4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Рекомендаций, устанавливается норма размещения не менее одной дошкольной образовательной организации в сельской местности - на 62 воспитанника. Территориальная доступность определяется в соответствии с </w:t>
      </w:r>
      <w:hyperlink r:id="rId4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10.1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:rsidR="007B214D" w:rsidRPr="00615820" w:rsidRDefault="008F16B3" w:rsidP="007B214D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615820">
        <w:rPr>
          <w:rFonts w:ascii="Times New Roman" w:hAnsi="Times New Roman" w:cs="Times New Roman"/>
          <w:b/>
          <w:sz w:val="26"/>
          <w:szCs w:val="26"/>
        </w:rPr>
        <w:t>3.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Объекты здравоохранения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здравоохранения использовались следующие правовые акты и прочие документы федеральных, областны</w:t>
      </w:r>
      <w:r w:rsidR="005449A5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власти: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46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47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 (далее - Рекомендации-358);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48" w:history="1">
        <w:r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(далее - Требования-132н).</w:t>
      </w:r>
    </w:p>
    <w:p w:rsidR="005449A5" w:rsidRPr="00615820" w:rsidRDefault="008F16B3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2.4.4</w:t>
      </w:r>
      <w:r w:rsidR="005449A5" w:rsidRPr="00615820">
        <w:rPr>
          <w:rFonts w:ascii="Times New Roman" w:hAnsi="Times New Roman" w:cs="Times New Roman"/>
          <w:b/>
          <w:sz w:val="26"/>
          <w:szCs w:val="26"/>
        </w:rPr>
        <w:t xml:space="preserve">. Объекты культуры </w:t>
      </w:r>
    </w:p>
    <w:p w:rsidR="005449A5" w:rsidRPr="00615820" w:rsidRDefault="005449A5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Применяемы к отношениям в области культуры положения Федерального </w:t>
      </w:r>
      <w:hyperlink r:id="rId49" w:history="1">
        <w:r w:rsidRPr="0061582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деле".</w:t>
      </w:r>
      <w:r w:rsidRPr="00615820">
        <w:rPr>
          <w:rFonts w:ascii="Times New Roman" w:hAnsi="Times New Roman" w:cs="Times New Roman"/>
        </w:rPr>
        <w:t xml:space="preserve"> 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культуры использовались следующие правовые акты федеральных органов исполнительной власти: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50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5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введенные в действие распоряжением Министерства культуры Российской Федерации от 02.08.2017 N Р-965 (далее - Рекомендации-965);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52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5449A5" w:rsidRPr="00615820" w:rsidRDefault="005449A5" w:rsidP="008F16B3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Библиотеки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части библиотек Социальными </w:t>
      </w:r>
      <w:hyperlink r:id="rId53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4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Рекомендациями-965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нормируются количество объектов 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на поселение. </w:t>
      </w:r>
      <w:r w:rsidRPr="00615820">
        <w:rPr>
          <w:rFonts w:ascii="Times New Roman" w:hAnsi="Times New Roman" w:cs="Times New Roman"/>
          <w:sz w:val="26"/>
          <w:szCs w:val="26"/>
        </w:rPr>
        <w:t xml:space="preserve"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технологий, для чего рекомендуется на базе библиотек поселения организовать точку доступа к полнотекстовым информационным ресурсам.</w:t>
      </w:r>
    </w:p>
    <w:p w:rsidR="005449A5" w:rsidRPr="00615820" w:rsidRDefault="008F16B3" w:rsidP="008F16B3">
      <w:pPr>
        <w:pStyle w:val="ConsPlusNormal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449A5" w:rsidRPr="00615820">
        <w:rPr>
          <w:rFonts w:ascii="Times New Roman" w:hAnsi="Times New Roman" w:cs="Times New Roman"/>
          <w:sz w:val="26"/>
          <w:szCs w:val="26"/>
        </w:rPr>
        <w:t>Учреждения культуры клубного типа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За сетевую единицу принимаются учреждения культуры клубного типа всех форм собственности.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6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Рекомендаций-965 минимальный перечень подвидов учреждений культуры клубного типа на уровне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составляет областной </w:t>
      </w:r>
      <w:r w:rsidR="008F16B3" w:rsidRPr="00615820">
        <w:rPr>
          <w:rFonts w:ascii="Times New Roman" w:hAnsi="Times New Roman" w:cs="Times New Roman"/>
          <w:sz w:val="26"/>
          <w:szCs w:val="26"/>
        </w:rPr>
        <w:t>Дом</w:t>
      </w:r>
      <w:r w:rsidRPr="00615820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Количество таких учреждений определяется в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исходя из культурного разнообразия территории и уровня бюджетной обеспеченности.</w:t>
      </w:r>
    </w:p>
    <w:p w:rsidR="008F16B3" w:rsidRPr="00615820" w:rsidRDefault="008F16B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 ПРАВИЛА И ОБЛАСТЬ ПРИМЕНЕНИЯ РАСЧЕТНЫХ ПОКАЗАТЕЛЕЙ, СОДЕРЖАЩИХСЯ В ОСНОВНОЙ ЧАСТИ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3.1 Область применения расчетных показателей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значения.</w:t>
      </w:r>
    </w:p>
    <w:p w:rsidR="00830F93" w:rsidRPr="00615820" w:rsidRDefault="00755900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Нормативы установлены с учётом природно-климатических, социальнодемографических, национальных, территориальных особенностей поселения, и содержат минимальные расчётные показатели обеспечения благоприятных условий жизнедеятельности человека, в том числе показатели обеспечения объектами социального и коммунально-бытового назначения, доступности объектов социального назначения для населения.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применяются при подготовке, согласовании, экспертизе, утверждении и реализации документов территориального планирования (генерального плана сельского поселения), документации по планировке территорий в части размещения объектов местного значения поселения, правил землепользования и застройки с учётом перспективы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их развития,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>распространяются на предлагаемые к размещению на территории местного значения в области транспорта, инженерного обеспечения, физической культуры и массового спорта.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3.2 Состав участников градостроительных отношений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состав участников градостроительной деятельности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входят: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Органы местного самоуправления, осуществляющие процесс согласования, утверждения документов, выдачи разрешений на строительство и пр., в том числе: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лице Отдела градостроительства;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Население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>, а также физические и юридические лица, предприниматели, осуществляющие или планирующие осуществлять свою деятельность на территории п</w:t>
      </w:r>
      <w:r w:rsidR="00B52438" w:rsidRPr="00615820">
        <w:rPr>
          <w:rFonts w:ascii="Times New Roman" w:hAnsi="Times New Roman" w:cs="Times New Roman"/>
          <w:sz w:val="26"/>
          <w:szCs w:val="26"/>
        </w:rPr>
        <w:t>оселения, которые обращаются 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дминистрацию по вопросам выдачи разрешений на строительство, предоставления градостроительных планов земельных участков, предоставляют предложения и запросы о возможности внесения изменений в документы градостроительного проектирования, связанные с хозяйственной деятельностью и пр.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Проектные и проектно-изыскательские организации, непосредственно осуществляющие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</w:t>
      </w:r>
      <w:r w:rsidR="00B52438" w:rsidRPr="00615820">
        <w:rPr>
          <w:rFonts w:ascii="Times New Roman" w:hAnsi="Times New Roman" w:cs="Times New Roman"/>
          <w:sz w:val="26"/>
          <w:szCs w:val="26"/>
        </w:rPr>
        <w:t>ица под контролем специалистов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3.3 Документы градостроительного проектирования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К документам градостроительного проектирования, в которых должны быть соблюдены требования настоящих нормативов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относятся: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Документы территориального планирования - Генеральный план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Документы градостроительного зонирования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 xml:space="preserve"> -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Документы планировки территории - Проекты планировки территорий для размещения объектов местного значения; Местные нормативы градостроительного проектирования </w:t>
      </w:r>
      <w:r w:rsidR="00D8324B">
        <w:rPr>
          <w:rFonts w:ascii="Times New Roman" w:hAnsi="Times New Roman" w:cs="Times New Roman"/>
          <w:sz w:val="26"/>
          <w:szCs w:val="26"/>
        </w:rPr>
        <w:t xml:space="preserve">Новогоряновского </w:t>
      </w:r>
      <w:r w:rsidR="00D8324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15820">
        <w:rPr>
          <w:rFonts w:ascii="Times New Roman" w:hAnsi="Times New Roman" w:cs="Times New Roman"/>
          <w:sz w:val="26"/>
          <w:szCs w:val="26"/>
        </w:rPr>
        <w:t>- Градостроительные планы земельных участков; - Схемы планировочной организации земельных участков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Раздел проектной документации на строительство «Схема планировочной о</w:t>
      </w:r>
      <w:r w:rsidR="00350469" w:rsidRPr="00615820">
        <w:rPr>
          <w:rFonts w:ascii="Times New Roman" w:hAnsi="Times New Roman" w:cs="Times New Roman"/>
          <w:sz w:val="26"/>
          <w:szCs w:val="26"/>
        </w:rPr>
        <w:t>рганизации земельного участка».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3E82" w:rsidRPr="00615820" w:rsidRDefault="00755900" w:rsidP="006F5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4</w:t>
      </w:r>
      <w:r w:rsidR="00F03E82" w:rsidRPr="00615820">
        <w:rPr>
          <w:rFonts w:ascii="Times New Roman" w:hAnsi="Times New Roman" w:cs="Times New Roman"/>
          <w:b/>
          <w:sz w:val="26"/>
          <w:szCs w:val="26"/>
        </w:rPr>
        <w:t>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нормативных правовых актов и иных документов, используемых в нормативах градостроительного проектирования </w:t>
      </w:r>
      <w:r w:rsidR="00D8324B">
        <w:rPr>
          <w:rFonts w:ascii="Times New Roman" w:hAnsi="Times New Roman" w:cs="Times New Roman"/>
          <w:b/>
          <w:bCs/>
          <w:sz w:val="26"/>
          <w:szCs w:val="26"/>
        </w:rPr>
        <w:t>Новогоряновского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Тейковского муниципаль</w:t>
      </w:r>
      <w:r w:rsidR="006F5D2B">
        <w:rPr>
          <w:rFonts w:ascii="Times New Roman" w:hAnsi="Times New Roman" w:cs="Times New Roman"/>
          <w:b/>
          <w:bCs/>
          <w:sz w:val="26"/>
          <w:szCs w:val="26"/>
        </w:rPr>
        <w:t xml:space="preserve">ного района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F03E82" w:rsidRPr="00615820" w:rsidRDefault="00F03E82" w:rsidP="002239F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56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57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58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 от 09.10.1992 N 3612-1 "Основы законодательства Российской Федерации о культуре"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0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1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26.05.1996 N 54-ФЗ "О музейном фонде Российской Федерации и музеях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2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3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4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5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04.12.2007 N 329-ФЗ "О физической культуре и спорте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6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7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21.11.2011 N 323-ФЗ "Об основах охраны здоровья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8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9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Правовые акты федеральных органов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исполнительной власти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14.02.2009 N 112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71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14.07.2008 N 82-ОЗ "О градостроительной деятельности на территории Ивановской области"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14.05.2010 N 45-ОЗ "О физической культуре и спорте в Ивановской области"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Своды правил по проектированию и строительству (СП),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строительные нормы и правила (СНиП)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принятый </w:t>
      </w:r>
      <w:hyperlink r:id="rId7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Строительные </w:t>
      </w:r>
      <w:hyperlink r:id="rId78" w:history="1">
        <w:r w:rsidRPr="00615820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правила "Тепловые сети", принятые </w:t>
      </w:r>
      <w:hyperlink r:id="rId7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N 110 (СНиП 41-02-2003)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утвержденный </w:t>
      </w:r>
      <w:hyperlink r:id="rId8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131.13330.2012 "СНиП 23-01-99* "Строительная климатология", утвержденный </w:t>
      </w:r>
      <w:hyperlink r:id="rId8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30.06.2012 N 275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88.13330.2014 "СНиП II-11-77* "Защитные сооружения гражданской обороны", утвержденный </w:t>
      </w:r>
      <w:hyperlink r:id="rId8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18.02.2014 N 59/пр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утвержденный </w:t>
      </w:r>
      <w:hyperlink r:id="rId8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утвержденный </w:t>
      </w:r>
      <w:hyperlink r:id="rId8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</w:t>
      </w:r>
    </w:p>
    <w:p w:rsidR="00F03E82" w:rsidRPr="00615820" w:rsidRDefault="009C096B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2.07.01-89* Градостроительство. Планировка и застройка городских и сельских поселений", утвержденный </w:t>
      </w:r>
      <w:hyperlink r:id="rId9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30.12.2016 N 1034/пр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Санитарные правила и нормы (СанПиН)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2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СанПиН 2.4.3.1186-03, утвержденные Главным государственным санитарным врачом Российской Федерации 26.01.2003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3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2.4.2.2821-10 "Санитарно-эпидемиологические требования к условиям и организации обучения в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учреждениях", утвержденные 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4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учреждений", утвержденные постановлением Главного государственного санитарного врача Российской Федерации от 23.03.2011 N 23 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5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6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Методические и прочие документы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97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8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Климовым А.А. 04.05.2016 N АК-15/02вн), направленные письмом Министерства образования и науки Российской Федерации от 04.05.2016 N АК-950/02 "О методических рекомендациях"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9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утвержденные приказом Министерства труда и социальной защиты Российской Федерации от 05.05.2016 N 219 "Об утверждении методических рекомендаций по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00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утвержденные приказом Министерства труда и социальной защиты Российской Федерации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 распоряжением Министерства культуры Российской Федерации от 02.08.2017 N Р-965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3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4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5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ресурсной обеспеченности населения в сфере здравоохранения, утвержденные приказом Министерства здравоохранения Российской Федерации от 20.04.2018 N 182 "Об утверждении методических рекомендаций о применении нормативов и норм ресурсной обеспеченности населения в сфере здравоохранения"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6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C4123" w:rsidRPr="00615820" w:rsidSect="00B20509">
      <w:footerReference w:type="default" r:id="rId10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6B" w:rsidRDefault="009C096B" w:rsidP="00BE251A">
      <w:pPr>
        <w:spacing w:after="0" w:line="240" w:lineRule="auto"/>
      </w:pPr>
      <w:r>
        <w:separator/>
      </w:r>
    </w:p>
  </w:endnote>
  <w:endnote w:type="continuationSeparator" w:id="0">
    <w:p w:rsidR="009C096B" w:rsidRDefault="009C096B" w:rsidP="00B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155410"/>
      <w:docPartObj>
        <w:docPartGallery w:val="Page Numbers (Bottom of Page)"/>
        <w:docPartUnique/>
      </w:docPartObj>
    </w:sdtPr>
    <w:sdtEndPr/>
    <w:sdtContent>
      <w:p w:rsidR="00D8324B" w:rsidRDefault="00D8324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2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324B" w:rsidRDefault="00D8324B">
    <w:pPr>
      <w:pStyle w:val="a7"/>
    </w:pPr>
  </w:p>
  <w:p w:rsidR="00D8324B" w:rsidRDefault="00D832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6B" w:rsidRDefault="009C096B" w:rsidP="00BE251A">
      <w:pPr>
        <w:spacing w:after="0" w:line="240" w:lineRule="auto"/>
      </w:pPr>
      <w:r>
        <w:separator/>
      </w:r>
    </w:p>
  </w:footnote>
  <w:footnote w:type="continuationSeparator" w:id="0">
    <w:p w:rsidR="009C096B" w:rsidRDefault="009C096B" w:rsidP="00BE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728"/>
    <w:rsid w:val="00011278"/>
    <w:rsid w:val="000156EB"/>
    <w:rsid w:val="00033E95"/>
    <w:rsid w:val="0003428F"/>
    <w:rsid w:val="00050C35"/>
    <w:rsid w:val="00063AC3"/>
    <w:rsid w:val="0006516D"/>
    <w:rsid w:val="00067672"/>
    <w:rsid w:val="000C4123"/>
    <w:rsid w:val="000C4B33"/>
    <w:rsid w:val="000D3B90"/>
    <w:rsid w:val="000D4687"/>
    <w:rsid w:val="000D61CD"/>
    <w:rsid w:val="00100FF6"/>
    <w:rsid w:val="00107C19"/>
    <w:rsid w:val="00150D0B"/>
    <w:rsid w:val="00161728"/>
    <w:rsid w:val="0018538B"/>
    <w:rsid w:val="001B4A1E"/>
    <w:rsid w:val="001E794A"/>
    <w:rsid w:val="00206DFC"/>
    <w:rsid w:val="0020772A"/>
    <w:rsid w:val="002239F6"/>
    <w:rsid w:val="00256445"/>
    <w:rsid w:val="002674EB"/>
    <w:rsid w:val="00291819"/>
    <w:rsid w:val="002A3563"/>
    <w:rsid w:val="002F0C71"/>
    <w:rsid w:val="003002A2"/>
    <w:rsid w:val="003014DB"/>
    <w:rsid w:val="00350469"/>
    <w:rsid w:val="00374999"/>
    <w:rsid w:val="003B7043"/>
    <w:rsid w:val="003C7CC4"/>
    <w:rsid w:val="003D4704"/>
    <w:rsid w:val="003D79F4"/>
    <w:rsid w:val="004255AF"/>
    <w:rsid w:val="00493A4A"/>
    <w:rsid w:val="004A08C1"/>
    <w:rsid w:val="004A7D67"/>
    <w:rsid w:val="005326AF"/>
    <w:rsid w:val="005449A5"/>
    <w:rsid w:val="0056088A"/>
    <w:rsid w:val="00576198"/>
    <w:rsid w:val="00585BA0"/>
    <w:rsid w:val="005916A3"/>
    <w:rsid w:val="00596EDC"/>
    <w:rsid w:val="005A74DB"/>
    <w:rsid w:val="005C3108"/>
    <w:rsid w:val="005E35F6"/>
    <w:rsid w:val="00615820"/>
    <w:rsid w:val="00633D21"/>
    <w:rsid w:val="0064688B"/>
    <w:rsid w:val="006912B0"/>
    <w:rsid w:val="006A694E"/>
    <w:rsid w:val="006C274C"/>
    <w:rsid w:val="006D5638"/>
    <w:rsid w:val="006F5BE7"/>
    <w:rsid w:val="006F5D2B"/>
    <w:rsid w:val="00733E4F"/>
    <w:rsid w:val="00751A69"/>
    <w:rsid w:val="00753CB0"/>
    <w:rsid w:val="00755900"/>
    <w:rsid w:val="007A4E56"/>
    <w:rsid w:val="007B214D"/>
    <w:rsid w:val="007C3B75"/>
    <w:rsid w:val="007C4229"/>
    <w:rsid w:val="00815084"/>
    <w:rsid w:val="00830F93"/>
    <w:rsid w:val="00846E0D"/>
    <w:rsid w:val="008A4B7B"/>
    <w:rsid w:val="008B6950"/>
    <w:rsid w:val="008D5F08"/>
    <w:rsid w:val="008E2941"/>
    <w:rsid w:val="008F16B3"/>
    <w:rsid w:val="00900509"/>
    <w:rsid w:val="00905B2E"/>
    <w:rsid w:val="00917354"/>
    <w:rsid w:val="009207F5"/>
    <w:rsid w:val="00943A0E"/>
    <w:rsid w:val="00962C07"/>
    <w:rsid w:val="00973FAD"/>
    <w:rsid w:val="009906A3"/>
    <w:rsid w:val="009C096B"/>
    <w:rsid w:val="009F1B84"/>
    <w:rsid w:val="00A066F9"/>
    <w:rsid w:val="00A06EB0"/>
    <w:rsid w:val="00A12E81"/>
    <w:rsid w:val="00A272F9"/>
    <w:rsid w:val="00A45C84"/>
    <w:rsid w:val="00A53AAC"/>
    <w:rsid w:val="00AA79A3"/>
    <w:rsid w:val="00AE2CD5"/>
    <w:rsid w:val="00B20509"/>
    <w:rsid w:val="00B52438"/>
    <w:rsid w:val="00B55D6A"/>
    <w:rsid w:val="00B72749"/>
    <w:rsid w:val="00B97D88"/>
    <w:rsid w:val="00BB3D59"/>
    <w:rsid w:val="00BC2569"/>
    <w:rsid w:val="00BE251A"/>
    <w:rsid w:val="00C05AF9"/>
    <w:rsid w:val="00C4446E"/>
    <w:rsid w:val="00C655A4"/>
    <w:rsid w:val="00C83DE1"/>
    <w:rsid w:val="00CA44D9"/>
    <w:rsid w:val="00CB23A5"/>
    <w:rsid w:val="00CB446A"/>
    <w:rsid w:val="00D077D4"/>
    <w:rsid w:val="00D17E80"/>
    <w:rsid w:val="00D21894"/>
    <w:rsid w:val="00D2579A"/>
    <w:rsid w:val="00D2623E"/>
    <w:rsid w:val="00D74BDC"/>
    <w:rsid w:val="00D8324B"/>
    <w:rsid w:val="00D9025A"/>
    <w:rsid w:val="00DA4D40"/>
    <w:rsid w:val="00DC6775"/>
    <w:rsid w:val="00E0127C"/>
    <w:rsid w:val="00E03D5E"/>
    <w:rsid w:val="00E3518C"/>
    <w:rsid w:val="00E73C44"/>
    <w:rsid w:val="00EE7545"/>
    <w:rsid w:val="00F03E82"/>
    <w:rsid w:val="00F1570D"/>
    <w:rsid w:val="00F40337"/>
    <w:rsid w:val="00F40560"/>
    <w:rsid w:val="00F5097C"/>
    <w:rsid w:val="00F61B37"/>
    <w:rsid w:val="00F733D8"/>
    <w:rsid w:val="00F749FE"/>
    <w:rsid w:val="00F83AF8"/>
    <w:rsid w:val="00F84DF4"/>
    <w:rsid w:val="00FA40DC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D831"/>
  <w15:docId w15:val="{97233B41-2429-462E-8DFD-5935C58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7C"/>
  </w:style>
  <w:style w:type="paragraph" w:styleId="1">
    <w:name w:val="heading 1"/>
    <w:basedOn w:val="a"/>
    <w:next w:val="a"/>
    <w:link w:val="10"/>
    <w:uiPriority w:val="9"/>
    <w:qFormat/>
    <w:rsid w:val="00905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5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E251A"/>
  </w:style>
  <w:style w:type="paragraph" w:styleId="a5">
    <w:name w:val="header"/>
    <w:basedOn w:val="a"/>
    <w:link w:val="a6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51A"/>
  </w:style>
  <w:style w:type="paragraph" w:styleId="a7">
    <w:name w:val="footer"/>
    <w:basedOn w:val="a"/>
    <w:link w:val="a8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51A"/>
  </w:style>
  <w:style w:type="paragraph" w:styleId="a9">
    <w:name w:val="Balloon Text"/>
    <w:basedOn w:val="a"/>
    <w:link w:val="aa"/>
    <w:uiPriority w:val="99"/>
    <w:semiHidden/>
    <w:unhideWhenUsed/>
    <w:rsid w:val="0084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E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7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0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05B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05B2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AFA0FB31F7E67D486F7C215D901AB955F8F8C30FEC6672BF20A7465A3CE1A75AE052AFA647A7DF18E4954FtAoCH" TargetMode="External"/><Relationship Id="rId21" Type="http://schemas.openxmlformats.org/officeDocument/2006/relationships/hyperlink" Target="consultantplus://offline/ref=12AFA0FB31F7E67D486F7C215D901AB955FAFDC70EEC6672BF20A7465A3CE1A75AE052AFA647A7DF18E4954FtAoCH" TargetMode="External"/><Relationship Id="rId42" Type="http://schemas.openxmlformats.org/officeDocument/2006/relationships/hyperlink" Target="consultantplus://offline/ref=3F574D1FB6A49AABE7899C705F32506E46E0C3D397F9335D7F8DA71ACE0C1F10593E7704A201aBH" TargetMode="External"/><Relationship Id="rId47" Type="http://schemas.openxmlformats.org/officeDocument/2006/relationships/hyperlink" Target="consultantplus://offline/ref=3F574D1FB6A49AABE7899C705F32506E45E9C2D292FF335D7F8DA71ACE0C1F10593E7704A61F50B406a9H" TargetMode="External"/><Relationship Id="rId63" Type="http://schemas.openxmlformats.org/officeDocument/2006/relationships/hyperlink" Target="consultantplus://offline/ref=642E2B3E67CE3CA76850587009259F17073FDF879DB42D9F75381F91E48278EC40C513122437A48AF4336E8D2FB7DBI" TargetMode="External"/><Relationship Id="rId68" Type="http://schemas.openxmlformats.org/officeDocument/2006/relationships/hyperlink" Target="consultantplus://offline/ref=642E2B3E67CE3CA76850587009259F17073CD3809BB72D9F75381F91E48278EC40C513122437A48AF4336E8D2FB7DBI" TargetMode="External"/><Relationship Id="rId84" Type="http://schemas.openxmlformats.org/officeDocument/2006/relationships/hyperlink" Target="consultantplus://offline/ref=642E2B3E67CE3CA76850597E19259F17063ED0849FBD70957D611393E38D27E955D44B1F212CBA8CEC2F6C8CB2D7I" TargetMode="External"/><Relationship Id="rId89" Type="http://schemas.openxmlformats.org/officeDocument/2006/relationships/hyperlink" Target="consultantplus://offline/ref=642E2B3E67CE3CA76850466B1C259F17063CD78698B02D9F75381F91E48278EC40C513122437A48AF4336E8D2FB7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AFA0FB31F7E67D486F633458901AB955FEFAC007E33B78B779AB445D33BEA24FF10AA2A35CB9D900F8974EA4t6o3H" TargetMode="External"/><Relationship Id="rId29" Type="http://schemas.openxmlformats.org/officeDocument/2006/relationships/hyperlink" Target="consultantplus://offline/ref=12AFA0FB31F7E67D486F633458901AB955F9FDC706E13B78B779AB445D33BEA24FF10AA2A35CB9D900F8974EA4t6o3H" TargetMode="External"/><Relationship Id="rId107" Type="http://schemas.openxmlformats.org/officeDocument/2006/relationships/footer" Target="footer1.xml"/><Relationship Id="rId11" Type="http://schemas.openxmlformats.org/officeDocument/2006/relationships/hyperlink" Target="consultantplus://offline/ref=12AFA0FB31F7E67D486F633458901AB955FCF8C60FEE3B78B779AB445D33BEA24FF10AA2A35CB9D900F8974EA4t6o3H" TargetMode="External"/><Relationship Id="rId24" Type="http://schemas.openxmlformats.org/officeDocument/2006/relationships/hyperlink" Target="consultantplus://offline/ref=12AFA0FB31F7E67D486F7C215D901AB954FDFCCA51BB6423EA2EA24E0A66F1A313B55AB1A35FB9DB06E7t9oCH" TargetMode="External"/><Relationship Id="rId32" Type="http://schemas.openxmlformats.org/officeDocument/2006/relationships/hyperlink" Target="consultantplus://offline/ref=3F574D1FB6A49AABE78983655A32506E46EFC3D191F56E5777D4AB180Ca9H" TargetMode="External"/><Relationship Id="rId37" Type="http://schemas.openxmlformats.org/officeDocument/2006/relationships/hyperlink" Target="consultantplus://offline/ref=3F574D1FB6A49AABE7899C705F32506E45E9C5D593F7335D7F8DA71ACE0C1F10593E7704A61F50B406a9H" TargetMode="External"/><Relationship Id="rId40" Type="http://schemas.openxmlformats.org/officeDocument/2006/relationships/hyperlink" Target="consultantplus://offline/ref=3F574D1FB6A49AABE7899C705F32506E45E9C5D190F8335D7F8DA71ACE0C1F10593E7704A61F50B406a9H" TargetMode="External"/><Relationship Id="rId45" Type="http://schemas.openxmlformats.org/officeDocument/2006/relationships/hyperlink" Target="consultantplus://offline/ref=3F574D1FB6A49AABE78983655A32506E45E8C2D497F56E5777D4AB18C90340075E777B05A61A570Ba4H" TargetMode="External"/><Relationship Id="rId53" Type="http://schemas.openxmlformats.org/officeDocument/2006/relationships/hyperlink" Target="consultantplus://offline/ref=3F574D1FB6A49AABE7899C705F32506E45E8C0D19CF8335D7F8DA71ACE0C1F10593E7704A61F50B406a8H" TargetMode="External"/><Relationship Id="rId58" Type="http://schemas.openxmlformats.org/officeDocument/2006/relationships/hyperlink" Target="consultantplus://offline/ref=642E2B3E67CE3CA76850587009259F17073ED78891B62D9F75381F91E48278EC40C513122437A48AF4336E8D2FB7DBI" TargetMode="External"/><Relationship Id="rId66" Type="http://schemas.openxmlformats.org/officeDocument/2006/relationships/hyperlink" Target="consultantplus://offline/ref=642E2B3E67CE3CA76850587009259F170637D5869CB42D9F75381F91E48278EC40C513122437A48AF4336E8D2FB7DBI" TargetMode="External"/><Relationship Id="rId74" Type="http://schemas.openxmlformats.org/officeDocument/2006/relationships/hyperlink" Target="consultantplus://offline/ref=642E2B3E67CE3CA7685058660A49C3180035898D98B520C02D6A19C6BBD27EB912854D4B7576EF87F228728D286C39C8A9BAD9I" TargetMode="External"/><Relationship Id="rId79" Type="http://schemas.openxmlformats.org/officeDocument/2006/relationships/hyperlink" Target="consultantplus://offline/ref=642E2B3E67CE3CA76850597E19259F17063AD78892E07A9D246D1194ECD222FC448C461A3A32BC94F02D6DB8D4I" TargetMode="External"/><Relationship Id="rId87" Type="http://schemas.openxmlformats.org/officeDocument/2006/relationships/hyperlink" Target="consultantplus://offline/ref=642E2B3E67CE3CA76850466B1C259F170639D28791BF2D9F75381F91E48278EC40C513122437A48AF4336E8D2FB7DBI" TargetMode="External"/><Relationship Id="rId102" Type="http://schemas.openxmlformats.org/officeDocument/2006/relationships/hyperlink" Target="consultantplus://offline/ref=642E2B3E67CE3CA76850587009259F17063CD5849EB62D9F75381F91E48278EC52C54B1E2432BA8AFB2638DC6A2736C8ADBE3FEB204FFA18BEDB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42E2B3E67CE3CA76850587009259F17073FD3889ABF2D9F75381F91E48278EC40C513122437A48AF4336E8D2FB7DBI" TargetMode="External"/><Relationship Id="rId82" Type="http://schemas.openxmlformats.org/officeDocument/2006/relationships/hyperlink" Target="consultantplus://offline/ref=642E2B3E67CE3CA76850597E19259F17063FDF829ABD70957D611393E38D27E955D44B1F212CBA8CEC2F6C8CB2D7I" TargetMode="External"/><Relationship Id="rId90" Type="http://schemas.openxmlformats.org/officeDocument/2006/relationships/hyperlink" Target="consultantplus://offline/ref=642E2B3E67CE3CA76850597E19259F17063FD7879BBD70957D611393E38D27E955D44B1F212CBA8CEC2F6C8CB2D7I" TargetMode="External"/><Relationship Id="rId95" Type="http://schemas.openxmlformats.org/officeDocument/2006/relationships/hyperlink" Target="consultantplus://offline/ref=642E2B3E67CE3CA76850587009259F170536D2879DB12D9F75381F91E48278EC52C54B1E2432BA8BF72638DC6A2736C8ADBE3FEB204FFA18BEDBI" TargetMode="External"/><Relationship Id="rId19" Type="http://schemas.openxmlformats.org/officeDocument/2006/relationships/hyperlink" Target="consultantplus://offline/ref=12AFA0FB31F7E67D486F7C215D901AB955FFFDC90CB16C7AE62CA5415563E4B24BB85FAABD59A1C704E694t4o7H" TargetMode="External"/><Relationship Id="rId14" Type="http://schemas.openxmlformats.org/officeDocument/2006/relationships/hyperlink" Target="consultantplus://offline/ref=12AFA0FB31F7E67D486F633458901AB955FEFAC007E33B78B779AB445D33BEA25DF152AEA359A7DF00EDC11FE13FB415B25A43C82E46FB10tCo2H" TargetMode="External"/><Relationship Id="rId22" Type="http://schemas.openxmlformats.org/officeDocument/2006/relationships/hyperlink" Target="consultantplus://offline/ref=12AFA0FB31F7E67D486F633458901AB955FDFEC30FEF3B78B779AB445D33BEA24FF10AA2A35CB9D900F8974EA4t6o3H" TargetMode="External"/><Relationship Id="rId27" Type="http://schemas.openxmlformats.org/officeDocument/2006/relationships/hyperlink" Target="consultantplus://offline/ref=12AFA0FB31F7E67D486F633458901AB955FDFEC30FE03B78B779AB445D33BEA24FF10AA2A35CB9D900F8974EA4t6o3H" TargetMode="External"/><Relationship Id="rId30" Type="http://schemas.openxmlformats.org/officeDocument/2006/relationships/hyperlink" Target="consultantplus://offline/ref=12AFA0FB31F7E67D486F7D2F4D901AB956FBF4C80EE43B78B779AB445D33BEA25DF152AEA359A4DF02EDC11FE13FB415B25A43C82E46FB10tCo2H" TargetMode="External"/><Relationship Id="rId35" Type="http://schemas.openxmlformats.org/officeDocument/2006/relationships/hyperlink" Target="consultantplus://offline/ref=3F574D1FB6A49AABE7899C705F32506E45E9C5D593F7335D7F8DA71ACE0C1F10593E7704A61F50B406a9H" TargetMode="External"/><Relationship Id="rId43" Type="http://schemas.openxmlformats.org/officeDocument/2006/relationships/hyperlink" Target="consultantplus://offline/ref=3F574D1FB6A49AABE7899C705F32506E46E0C3D397F9335D7F8DA71ACE0C1F10593E77070Aa3H" TargetMode="External"/><Relationship Id="rId48" Type="http://schemas.openxmlformats.org/officeDocument/2006/relationships/hyperlink" Target="consultantplus://offline/ref=3F574D1FB6A49AABE7899C705F32506E46E0C7DB95F9335D7F8DA71ACE0C1F10593E7704A61F50B506a1H" TargetMode="External"/><Relationship Id="rId56" Type="http://schemas.openxmlformats.org/officeDocument/2006/relationships/hyperlink" Target="consultantplus://offline/ref=642E2B3E67CE3CA76850587009259F17073ED68098B72D9F75381F91E48278EC40C513122437A48AF4336E8D2FB7DBI" TargetMode="External"/><Relationship Id="rId64" Type="http://schemas.openxmlformats.org/officeDocument/2006/relationships/hyperlink" Target="consultantplus://offline/ref=642E2B3E67CE3CA76850587009259F17073CD3809FB32D9F75381F91E48278EC40C513122437A48AF4336E8D2FB7DBI" TargetMode="External"/><Relationship Id="rId69" Type="http://schemas.openxmlformats.org/officeDocument/2006/relationships/hyperlink" Target="consultantplus://offline/ref=642E2B3E67CE3CA76850587009259F17073CD3809AB62D9F75381F91E48278EC40C513122437A48AF4336E8D2FB7DBI" TargetMode="External"/><Relationship Id="rId77" Type="http://schemas.openxmlformats.org/officeDocument/2006/relationships/hyperlink" Target="consultantplus://offline/ref=642E2B3E67CE3CA76850597E19259F170537D78192E07A9D246D1194ECD222FC448C461A3A32BC94F02D6DB8D4I" TargetMode="External"/><Relationship Id="rId100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5" Type="http://schemas.openxmlformats.org/officeDocument/2006/relationships/hyperlink" Target="consultantplus://offline/ref=642E2B3E67CE3CA76850587009259F170637D0819BB42D9F75381F91E48278EC52C54B1E2432BA8AFA2638DC6A2736C8ADBE3FEB204FFA18BEDBI" TargetMode="External"/><Relationship Id="rId8" Type="http://schemas.openxmlformats.org/officeDocument/2006/relationships/hyperlink" Target="consultantplus://offline/ref=12AFA0FB31F7E67D486F633458901AB955FEFAC007E33B78B779AB445D33BEA24FF10AA2A35CB9D900F8974EA4t6o3H" TargetMode="External"/><Relationship Id="rId51" Type="http://schemas.openxmlformats.org/officeDocument/2006/relationships/hyperlink" Target="consultantplus://offline/ref=3F574D1FB6A49AABE7899C705F32506E45EBC0D792FE335D7F8DA71ACE0C1F10593E7704A61F50B406a8H" TargetMode="External"/><Relationship Id="rId72" Type="http://schemas.openxmlformats.org/officeDocument/2006/relationships/hyperlink" Target="consultantplus://offline/ref=642E2B3E67CE3CA76850587009259F170537D28899B12D9F75381F91E48278EC52C54B1E2432BA8BF22638DC6A2736C8ADBE3FEB204FFA18BEDBI" TargetMode="External"/><Relationship Id="rId80" Type="http://schemas.openxmlformats.org/officeDocument/2006/relationships/hyperlink" Target="consultantplus://offline/ref=642E2B3E67CE3CA76850597E19259F17063DD28291BD70957D611393E38D27E955D44B1F212CBA8CEC2F6C8CB2D7I" TargetMode="External"/><Relationship Id="rId85" Type="http://schemas.openxmlformats.org/officeDocument/2006/relationships/hyperlink" Target="consultantplus://offline/ref=642E2B3E67CE3CA76850466B1C259F170639D78198B02D9F75381F91E48278EC40C513122437A48AF4336E8D2FB7DBI" TargetMode="External"/><Relationship Id="rId93" Type="http://schemas.openxmlformats.org/officeDocument/2006/relationships/hyperlink" Target="consultantplus://offline/ref=642E2B3E67CE3CA76850587009259F170537D6809BB12D9F75381F91E48278EC52C54B1E2432BA8BF62638DC6A2736C8ADBE3FEB204FFA18BEDBI" TargetMode="External"/><Relationship Id="rId98" Type="http://schemas.openxmlformats.org/officeDocument/2006/relationships/hyperlink" Target="consultantplus://offline/ref=642E2B3E67CE3CA76850587009259F17063ED0829CB02D9F75381F91E48278EC52C54B1E2432BA8AFA2638DC6A2736C8ADBE3FEB204FFA18BED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AFA0FB31F7E67D486F7C215D901AB956FDFFC100EC6672BF20A7465A3CE1A75AE052AFA647A7DF18E4954FtAoCH" TargetMode="External"/><Relationship Id="rId17" Type="http://schemas.openxmlformats.org/officeDocument/2006/relationships/hyperlink" Target="consultantplus://offline/ref=12AFA0FB31F7E67D486F7C215D901AB955FAFDC605EC6672BF20A7465A3CE1A75AE052AFA647A7DF18E4954FtAoCH" TargetMode="External"/><Relationship Id="rId25" Type="http://schemas.openxmlformats.org/officeDocument/2006/relationships/hyperlink" Target="consultantplus://offline/ref=12AFA0FB31F7E67D486F7C215D901AB956F2FDC00CB16C7AE62CA5415563E4B24BB85FAABD59A1C704E694t4o7H" TargetMode="External"/><Relationship Id="rId33" Type="http://schemas.openxmlformats.org/officeDocument/2006/relationships/hyperlink" Target="consultantplus://offline/ref=3F574D1FB6A49AABE78983655A32506E45E8C2D497F56E5777D4AB18C90340075E777B05A71E570Ba7H" TargetMode="External"/><Relationship Id="rId38" Type="http://schemas.openxmlformats.org/officeDocument/2006/relationships/hyperlink" Target="consultantplus://offline/ref=3F574D1FB6A49AABE7899C705F32506E45E9C5D593F7335D7F8DA71ACE0C1F10593E7704A61F50B406a9H" TargetMode="External"/><Relationship Id="rId46" Type="http://schemas.openxmlformats.org/officeDocument/2006/relationships/hyperlink" Target="consultantplus://offline/ref=3F574D1FB6A49AABE7899C705F32506E45E8C0D19CF8335D7F8DA71ACE0C1F10593E7704A61F50B406a8H" TargetMode="External"/><Relationship Id="rId59" Type="http://schemas.openxmlformats.org/officeDocument/2006/relationships/hyperlink" Target="consultantplus://offline/ref=642E2B3E67CE3CA76850587009259F170636D38399BE2D9F75381F91E48278EC40C513122437A48AF4336E8D2FB7DBI" TargetMode="External"/><Relationship Id="rId67" Type="http://schemas.openxmlformats.org/officeDocument/2006/relationships/hyperlink" Target="consultantplus://offline/ref=642E2B3E67CE3CA76850587009259F17073FDE869EB02D9F75381F91E48278EC40C513122437A48AF4336E8D2FB7DBI" TargetMode="External"/><Relationship Id="rId103" Type="http://schemas.openxmlformats.org/officeDocument/2006/relationships/hyperlink" Target="consultantplus://offline/ref=642E2B3E67CE3CA76850587009259F17073FD3879FBE2D9F75381F91E48278EC52C54B1E2432BA8BF22638DC6A2736C8ADBE3FEB204FFA18BEDBI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12AFA0FB31F7E67D486F7C215D901AB955FCFBC00CB16C7AE62CA5415563E4B24BB85FAABD59A1C704E694t4o7H" TargetMode="External"/><Relationship Id="rId41" Type="http://schemas.openxmlformats.org/officeDocument/2006/relationships/hyperlink" Target="consultantplus://offline/ref=3F574D1FB6A49AABE7899C705F32506E45E9C5D190F8335D7F8DA71ACE0C1F10593E7704A61F50B706a4H" TargetMode="External"/><Relationship Id="rId54" Type="http://schemas.openxmlformats.org/officeDocument/2006/relationships/hyperlink" Target="consultantplus://offline/ref=3F574D1FB6A49AABE7899C705F32506E45EBC0D792FE335D7F8DA71ACE0C1F10593E7704A61F50B406a8H" TargetMode="External"/><Relationship Id="rId62" Type="http://schemas.openxmlformats.org/officeDocument/2006/relationships/hyperlink" Target="consultantplus://offline/ref=642E2B3E67CE3CA76850587009259F17073FD38390B52D9F75381F91E48278EC40C513122437A48AF4336E8D2FB7DBI" TargetMode="External"/><Relationship Id="rId70" Type="http://schemas.openxmlformats.org/officeDocument/2006/relationships/hyperlink" Target="consultantplus://offline/ref=642E2B3E67CE3CA76850587009259F17073FD7899EB52D9F75381F91E48278EC52C54B1E2432BA88FB2638DC6A2736C8ADBE3FEB204FFA18BEDBI" TargetMode="External"/><Relationship Id="rId75" Type="http://schemas.openxmlformats.org/officeDocument/2006/relationships/hyperlink" Target="consultantplus://offline/ref=642E2B3E67CE3CA7685058660A49C3180035898D98B52ECD2F6F19C6BBD27EB912854D4B7576EF87F228728D286C39C8A9BAD9I" TargetMode="External"/><Relationship Id="rId83" Type="http://schemas.openxmlformats.org/officeDocument/2006/relationships/hyperlink" Target="consultantplus://offline/ref=642E2B3E67CE3CA76850466B1C259F170638D28298B02D9F75381F91E48278EC40C513122437A48AF4336E8D2FB7DBI" TargetMode="External"/><Relationship Id="rId88" Type="http://schemas.openxmlformats.org/officeDocument/2006/relationships/hyperlink" Target="consultantplus://offline/ref=642E2B3E67CE3CA76850597E19259F17053ADE839FBD70957D611393E38D27E955D44B1F212CBA8CEC2F6C8CB2D7I" TargetMode="External"/><Relationship Id="rId91" Type="http://schemas.openxmlformats.org/officeDocument/2006/relationships/hyperlink" Target="consultantplus://offline/ref=642E2B3E67CE3CA76850466B1C259F17063CD7869BB72D9F75381F91E48278EC40C513122437A48AF4336E8D2FB7DBI" TargetMode="External"/><Relationship Id="rId96" Type="http://schemas.openxmlformats.org/officeDocument/2006/relationships/hyperlink" Target="consultantplus://offline/ref=642E2B3E67CE3CA76850587009259F170538DF879BB52D9F75381F91E48278EC52C54B1E2432BA8BF12638DC6A2736C8ADBE3FEB204FFA18BED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2AFA0FB31F7E67D486F7C215D901AB955F9F4C006EC6672BF20A7465A3CE1A75AE052AFA647A7DF18E4954FtAoCH" TargetMode="External"/><Relationship Id="rId23" Type="http://schemas.openxmlformats.org/officeDocument/2006/relationships/hyperlink" Target="consultantplus://offline/ref=12AFA0FB31F7E67D486F7C215D901AB955FAFDC605EC6672BF20A7465A3CE1A75AE052AFA647A7DF18E4954FtAoCH" TargetMode="External"/><Relationship Id="rId28" Type="http://schemas.openxmlformats.org/officeDocument/2006/relationships/hyperlink" Target="consultantplus://offline/ref=12AFA0FB31F7E67D486F7C215D901AB956FFF4C201EC6672BF20A7465A3CE1A75AE052AFA647A7DF18E4954FtAoCH" TargetMode="External"/><Relationship Id="rId36" Type="http://schemas.openxmlformats.org/officeDocument/2006/relationships/hyperlink" Target="consultantplus://offline/ref=3F574D1FB6A49AABE7899C705F32506E45E9C5D593F7335D7F8DA71ACE0C1F10593E7704A61F50B406a9H" TargetMode="External"/><Relationship Id="rId49" Type="http://schemas.openxmlformats.org/officeDocument/2006/relationships/hyperlink" Target="consultantplus://offline/ref=3F574D1FB6A49AABE7899C705F32506E45E9C3D396F6335D7F8DA71ACE00aCH" TargetMode="External"/><Relationship Id="rId57" Type="http://schemas.openxmlformats.org/officeDocument/2006/relationships/hyperlink" Target="consultantplus://offline/ref=642E2B3E67CE3CA76850587009259F17073CD58699B62D9F75381F91E48278EC40C513122437A48AF4336E8D2FB7DBI" TargetMode="External"/><Relationship Id="rId106" Type="http://schemas.openxmlformats.org/officeDocument/2006/relationships/hyperlink" Target="consultantplus://offline/ref=642E2B3E67CE3CA7685058660A49C3180035898D98B522CE2F6419C6BBD27EB912854D4B6776B78BF22D6C882D796F99ECF532ED3B53FA1FFC8D9FC0B3DBI" TargetMode="External"/><Relationship Id="rId10" Type="http://schemas.openxmlformats.org/officeDocument/2006/relationships/hyperlink" Target="consultantplus://offline/ref=12AFA0FB31F7E67D486F7C215D901AB955F9F4C006EC6672BF20A7465A3CE1A75AE052AFA647A7DF18E4954FtAoCH" TargetMode="External"/><Relationship Id="rId31" Type="http://schemas.openxmlformats.org/officeDocument/2006/relationships/hyperlink" Target="consultantplus://offline/ref=3F574D1FB6A49AABE7899C705F32506E45E1C5D395FE335D7F8DA71ACE00aCH" TargetMode="External"/><Relationship Id="rId44" Type="http://schemas.openxmlformats.org/officeDocument/2006/relationships/hyperlink" Target="consultantplus://offline/ref=3F574D1FB6A49AABE7899C705F32506E45E9C5D190F8335D7F8DA71ACE0C1F10593E7704A61F50B706a4H" TargetMode="External"/><Relationship Id="rId52" Type="http://schemas.openxmlformats.org/officeDocument/2006/relationships/hyperlink" Target="consultantplus://offline/ref=3F574D1FB6A49AABE78983655A32506E45E8C2D497F56E5777D4AB180Ca9H" TargetMode="External"/><Relationship Id="rId60" Type="http://schemas.openxmlformats.org/officeDocument/2006/relationships/hyperlink" Target="consultantplus://offline/ref=642E2B3E67CE3CA76850587009259F17063ED6809ABE2D9F75381F91E48278EC40C513122437A48AF4336E8D2FB7DBI" TargetMode="External"/><Relationship Id="rId65" Type="http://schemas.openxmlformats.org/officeDocument/2006/relationships/hyperlink" Target="consultantplus://offline/ref=642E2B3E67CE3CA76850587009259F17073FD3889CB02D9F75381F91E48278EC40C513122437A48AF4336E8D2FB7DBI" TargetMode="External"/><Relationship Id="rId73" Type="http://schemas.openxmlformats.org/officeDocument/2006/relationships/hyperlink" Target="consultantplus://offline/ref=642E2B3E67CE3CA7685058660A49C3180035898D98B522CE206F19C6BBD27EB912854D4B7576EF87F228728D286C39C8A9BAD9I" TargetMode="External"/><Relationship Id="rId78" Type="http://schemas.openxmlformats.org/officeDocument/2006/relationships/hyperlink" Target="consultantplus://offline/ref=642E2B3E67CE3CA76850597E19259F170639D18192E07A9D246D1194ECD222FC448C461A3A32BC94F02D6DB8D4I" TargetMode="External"/><Relationship Id="rId81" Type="http://schemas.openxmlformats.org/officeDocument/2006/relationships/hyperlink" Target="consultantplus://offline/ref=642E2B3E67CE3CA76850466B1C259F170638D48291B12D9F75381F91E48278EC40C513122437A48AF4336E8D2FB7DBI" TargetMode="External"/><Relationship Id="rId86" Type="http://schemas.openxmlformats.org/officeDocument/2006/relationships/hyperlink" Target="consultantplus://offline/ref=642E2B3E67CE3CA76850597E19259F17063CDE8198BD70957D611393E38D27E955D44B1F212CBA8CEC2F6C8CB2D7I" TargetMode="External"/><Relationship Id="rId94" Type="http://schemas.openxmlformats.org/officeDocument/2006/relationships/hyperlink" Target="consultantplus://offline/ref=642E2B3E67CE3CA76850587009259F17053FD4809EBE2D9F75381F91E48278EC52C54B1E2432BA8BF12638DC6A2736C8ADBE3FEB204FFA18BEDBI" TargetMode="External"/><Relationship Id="rId99" Type="http://schemas.openxmlformats.org/officeDocument/2006/relationships/hyperlink" Target="consultantplus://offline/ref=642E2B3E67CE3CA76850587009259F170636DE849CB02D9F75381F91E48278EC52C54B1E2432BA8AFA2638DC6A2736C8ADBE3FEB204FFA18BEDBI" TargetMode="External"/><Relationship Id="rId101" Type="http://schemas.openxmlformats.org/officeDocument/2006/relationships/hyperlink" Target="consultantplus://offline/ref=642E2B3E67CE3CA76850587009259F170539D28999B22D9F75381F91E48278EC52C54B1E2432BA8BF02638DC6A2736C8ADBE3FEB204FFA18BE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FA0FB31F7E67D486F7C215D901AB955FAFDC605EC6672BF20A7465A3CE1A75AE052AFA647A7DF18E4954FtAoCH" TargetMode="External"/><Relationship Id="rId13" Type="http://schemas.openxmlformats.org/officeDocument/2006/relationships/hyperlink" Target="consultantplus://offline/ref=12AFA0FB31F7E67D486F7D394EFC46B653F0A3CC06E43429ED25AD130263B8F71DB154FBE01DAAD806E6954AA361ED44F3114ECE355AFB17D515D68BtAoDH" TargetMode="External"/><Relationship Id="rId18" Type="http://schemas.openxmlformats.org/officeDocument/2006/relationships/hyperlink" Target="consultantplus://offline/ref=12AFA0FB31F7E67D486F7C215D901AB955FCFBC00CB16C7AE62CA5415563E4B24BB85FAABD59A1C704E694t4o7H" TargetMode="External"/><Relationship Id="rId39" Type="http://schemas.openxmlformats.org/officeDocument/2006/relationships/hyperlink" Target="consultantplus://offline/ref=3F574D1FB6A49AABE7899C705F32506E45E1C5D395FE335D7F8DA71ACE00aC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F574D1FB6A49AABE7899C705F32506E45E1C5D395FE335D7F8DA71ACE00aCH" TargetMode="External"/><Relationship Id="rId50" Type="http://schemas.openxmlformats.org/officeDocument/2006/relationships/hyperlink" Target="consultantplus://offline/ref=3F574D1FB6A49AABE7899C705F32506E45E8C0D19CF8335D7F8DA71ACE0C1F10593E7704A61F50B406a8H" TargetMode="External"/><Relationship Id="rId55" Type="http://schemas.openxmlformats.org/officeDocument/2006/relationships/hyperlink" Target="consultantplus://offline/ref=3F574D1FB6A49AABE7899C705F32506E45EBC0D792FE335D7F8DA71ACE0C1F10593E7704A61F55B406a8H" TargetMode="External"/><Relationship Id="rId76" Type="http://schemas.openxmlformats.org/officeDocument/2006/relationships/hyperlink" Target="consultantplus://offline/ref=642E2B3E67CE3CA76850597E19259F170738D68BCFEA72C4286F169BB3D737ED1C8143012434A488F22CB6D5I" TargetMode="External"/><Relationship Id="rId97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4" Type="http://schemas.openxmlformats.org/officeDocument/2006/relationships/hyperlink" Target="consultantplus://offline/ref=642E2B3E67CE3CA7685058660A49C3180035898D98B522CE2F6419C6BBD27EB912854D4B6776B78BF22D6C882F796F99ECF532ED3B53FA1FFC8D9FC0B3DBI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642E2B3E67CE3CA7685058660A49C3180035898D98B522CE2F6419C6BBD27EB912854D4B6776B78BF22D6C8926796F99ECF532ED3B53FA1FFC8D9FC0B3DBI" TargetMode="External"/><Relationship Id="rId92" Type="http://schemas.openxmlformats.org/officeDocument/2006/relationships/hyperlink" Target="consultantplus://offline/ref=642E2B3E67CE3CA76850587009259F17053FD5849BBE2D9F75381F91E48278EC52C54B1E2432BA8BF62638DC6A2736C8ADBE3FEB204FFA18BE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5690-F01B-4C42-B64C-62CAB13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10452</Words>
  <Characters>59578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Teikovo</cp:lastModifiedBy>
  <cp:revision>53</cp:revision>
  <cp:lastPrinted>2019-06-17T07:25:00Z</cp:lastPrinted>
  <dcterms:created xsi:type="dcterms:W3CDTF">2019-05-30T13:30:00Z</dcterms:created>
  <dcterms:modified xsi:type="dcterms:W3CDTF">2019-08-29T14:19:00Z</dcterms:modified>
</cp:coreProperties>
</file>