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3E1E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384A4" wp14:editId="007E0730">
            <wp:extent cx="703580" cy="870585"/>
            <wp:effectExtent l="0" t="0" r="1270" b="571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EAC" w:rsidRPr="003E1EAC" w:rsidRDefault="003E1EAC" w:rsidP="003E1EA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СОВЕТ</w:t>
      </w: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ТЕЙКОВСКОГО МУНИЦИПАЛЬНОГО РАЙОНА</w:t>
      </w: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шестого созыва</w:t>
      </w: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Р Е Ш Е Н И Е</w:t>
      </w: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28.08.2019</w:t>
      </w:r>
      <w:r w:rsidRPr="003E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402-р</w:t>
      </w:r>
      <w:r w:rsidRPr="003E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EAC" w:rsidRPr="003E1EAC" w:rsidRDefault="003E1EAC" w:rsidP="003E1EAC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местных нормативов градостроительного проектирования</w:t>
      </w:r>
      <w:r w:rsidRPr="003E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Новолеушинского сельского поселения </w:t>
      </w:r>
    </w:p>
    <w:p w:rsidR="003E1EAC" w:rsidRPr="003E1EAC" w:rsidRDefault="003E1EAC" w:rsidP="003E1EAC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Тейковского муниципального района</w:t>
      </w:r>
    </w:p>
    <w:p w:rsidR="003E1EAC" w:rsidRPr="003E1EAC" w:rsidRDefault="003E1EAC" w:rsidP="003E1EAC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Ивановской области </w:t>
      </w:r>
    </w:p>
    <w:p w:rsidR="003E1EAC" w:rsidRPr="003E1EAC" w:rsidRDefault="003E1EAC" w:rsidP="003E1EAC">
      <w:pPr>
        <w:shd w:val="clear" w:color="auto" w:fill="FFFFFF"/>
        <w:suppressAutoHyphens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EAC" w:rsidRPr="003E1EAC" w:rsidRDefault="003E1EAC" w:rsidP="003E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статьей 8 Градостроительного кодекса Российской Федерации, статьей 2 Закона Ивановской области от 14.07.2008 № 82-ОЗ «О градостроительной деятельности на территории Ивановской области», руководствуясь Уставом Тейковского муниципального района, </w:t>
      </w:r>
    </w:p>
    <w:p w:rsidR="003E1EAC" w:rsidRPr="003E1EAC" w:rsidRDefault="003E1EAC" w:rsidP="003E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EAC" w:rsidRPr="003E1EAC" w:rsidRDefault="003E1EAC" w:rsidP="003E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3E1EAC" w:rsidRPr="003E1EAC" w:rsidRDefault="003E1EAC" w:rsidP="003E1E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EAC" w:rsidRPr="003E1EAC" w:rsidRDefault="003E1EAC" w:rsidP="003E1EAC">
      <w:pPr>
        <w:shd w:val="clear" w:color="auto" w:fill="FFFFFF"/>
        <w:suppressAutoHyphens/>
        <w:spacing w:before="28" w:after="28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местные нормативы градостроительного проектирования Новолеушинского сельского поселения Тейковского муниципального района Ивановской области (прилагаются).</w:t>
      </w:r>
    </w:p>
    <w:p w:rsidR="003E1EAC" w:rsidRPr="003E1EAC" w:rsidRDefault="003E1EAC" w:rsidP="003E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EAC" w:rsidRPr="003E1EAC" w:rsidRDefault="003E1EAC" w:rsidP="003E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EAC" w:rsidRPr="003E1EAC" w:rsidRDefault="003E1EAC" w:rsidP="003E1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EAC" w:rsidRPr="003E1EAC" w:rsidRDefault="003E1EAC" w:rsidP="003E1EA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Тейковского         Председатель Совета Тейковского                                          муниципального района                         муниципального района</w:t>
      </w:r>
    </w:p>
    <w:p w:rsidR="003E1EAC" w:rsidRPr="003E1EAC" w:rsidRDefault="003E1EAC" w:rsidP="003E1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3E1EAC" w:rsidRPr="003E1EAC" w:rsidRDefault="003E1EAC" w:rsidP="003E1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С.А. Семенова                                                               Н.С. Смирнов                                                                         </w:t>
      </w:r>
    </w:p>
    <w:p w:rsidR="003E1EAC" w:rsidRPr="003E1EAC" w:rsidRDefault="003E1EAC" w:rsidP="003E1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EAC" w:rsidRDefault="003E1EAC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EAC" w:rsidRDefault="003E1EAC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1EAC" w:rsidRDefault="003E1EAC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МЕСТНЫЕ НОРМАТИВЫ</w:t>
      </w:r>
    </w:p>
    <w:p w:rsidR="00BE251A" w:rsidRDefault="009207F5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</w:t>
      </w:r>
      <w:r w:rsidR="00BE251A">
        <w:rPr>
          <w:rFonts w:ascii="Times New Roman" w:hAnsi="Times New Roman" w:cs="Times New Roman"/>
          <w:b/>
          <w:sz w:val="52"/>
          <w:szCs w:val="52"/>
        </w:rPr>
        <w:t>радостроительного проектирования</w:t>
      </w:r>
    </w:p>
    <w:p w:rsidR="00BE251A" w:rsidRDefault="006D5638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Новолеушинского</w:t>
      </w:r>
      <w:r w:rsidR="00BE251A">
        <w:rPr>
          <w:rFonts w:ascii="Times New Roman" w:hAnsi="Times New Roman" w:cs="Times New Roman"/>
          <w:b/>
          <w:sz w:val="52"/>
          <w:szCs w:val="52"/>
        </w:rPr>
        <w:t xml:space="preserve"> сельского поселения</w:t>
      </w:r>
    </w:p>
    <w:p w:rsidR="00BE251A" w:rsidRPr="00BE251A" w:rsidRDefault="00BE251A" w:rsidP="00BE251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Тейковского муниципального района Ивановской области</w:t>
      </w: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251A" w:rsidRDefault="00BE251A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694E" w:rsidRPr="00F83AF8" w:rsidRDefault="00755900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СОДЕРЖАНИЕ </w:t>
      </w:r>
    </w:p>
    <w:p w:rsidR="00917354" w:rsidRPr="00F83AF8" w:rsidRDefault="00846E0D" w:rsidP="0075590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Введение…………………………………………………………………………….……</w:t>
      </w:r>
      <w:r w:rsidRPr="00F83AF8">
        <w:rPr>
          <w:rFonts w:ascii="Times New Roman" w:hAnsi="Times New Roman" w:cs="Times New Roman"/>
          <w:b/>
          <w:sz w:val="26"/>
          <w:szCs w:val="26"/>
        </w:rPr>
        <w:t>3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 1. Основная часть местных нормативов градостроительного проектирования </w:t>
      </w:r>
      <w:r w:rsidR="006D5638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9F1B84" w:rsidRPr="00F83AF8">
        <w:rPr>
          <w:rFonts w:ascii="Times New Roman" w:hAnsi="Times New Roman" w:cs="Times New Roman"/>
          <w:sz w:val="26"/>
          <w:szCs w:val="26"/>
        </w:rPr>
        <w:t>сельского поселения Тейковского муниципального района</w:t>
      </w:r>
      <w:r w:rsidR="006D5638">
        <w:rPr>
          <w:rFonts w:ascii="Times New Roman" w:hAnsi="Times New Roman" w:cs="Times New Roman"/>
          <w:sz w:val="26"/>
          <w:szCs w:val="26"/>
        </w:rPr>
        <w:t>.</w:t>
      </w:r>
      <w:r w:rsidR="00846E0D" w:rsidRPr="00F83AF8">
        <w:rPr>
          <w:rFonts w:ascii="Times New Roman" w:hAnsi="Times New Roman" w:cs="Times New Roman"/>
          <w:sz w:val="26"/>
          <w:szCs w:val="26"/>
        </w:rPr>
        <w:t>……</w:t>
      </w:r>
      <w:r w:rsidR="00846E0D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9F1B84" w:rsidRPr="00F83AF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1.1.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газо-, водоснабжение населения и водоотведение) и показатели максимально допустимого уровня территориальной доступности таких объектов для населения </w:t>
      </w:r>
      <w:r w:rsidR="006D5638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6D5638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района……………………………………...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5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6D5638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6D5638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>в области транспорта (автомобильные дороги местного значения)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0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</w:t>
      </w:r>
      <w:r w:rsidR="006D5638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6D5638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F83AF8">
        <w:rPr>
          <w:rFonts w:ascii="Times New Roman" w:hAnsi="Times New Roman" w:cs="Times New Roman"/>
          <w:sz w:val="26"/>
          <w:szCs w:val="26"/>
        </w:rPr>
        <w:t>в области физической культуры и массового спорта и показатели максимально допустимого уровня территориальной доступнос</w:t>
      </w:r>
      <w:r w:rsidR="007C3B75" w:rsidRPr="00F83AF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</w:t>
      </w:r>
      <w:r w:rsidR="007C3B75" w:rsidRPr="00F83AF8">
        <w:rPr>
          <w:rFonts w:ascii="Times New Roman" w:hAnsi="Times New Roman" w:cs="Times New Roman"/>
          <w:sz w:val="26"/>
          <w:szCs w:val="26"/>
        </w:rPr>
        <w:t>...........................................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1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Расчётные показатели минимально допустимого уровня обеспеченности иными объектами, связанными с решением вопросов местного значения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</w:t>
      </w:r>
      <w:r w:rsidR="007C3B75" w:rsidRPr="00F83AF8">
        <w:rPr>
          <w:rFonts w:ascii="Times New Roman" w:hAnsi="Times New Roman" w:cs="Times New Roman"/>
          <w:sz w:val="26"/>
          <w:szCs w:val="26"/>
        </w:rPr>
        <w:t>.......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</w:t>
      </w:r>
      <w:r w:rsidR="00615820">
        <w:rPr>
          <w:rFonts w:ascii="Times New Roman" w:hAnsi="Times New Roman" w:cs="Times New Roman"/>
          <w:b/>
          <w:sz w:val="26"/>
          <w:szCs w:val="26"/>
        </w:rPr>
        <w:t>12</w:t>
      </w:r>
    </w:p>
    <w:p w:rsidR="00E73C4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1.4.1. Расчетные показатели в области образования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1.4.2. Расчетные показатели в области здравоохранения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</w:t>
      </w:r>
      <w:r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2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1.4.3. Расчетные показатели в области культуры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3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1.4.4. Расчетные показатели в области жилищного строительства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</w:t>
      </w:r>
      <w:r w:rsidR="00DA4D40">
        <w:rPr>
          <w:rFonts w:ascii="Times New Roman" w:hAnsi="Times New Roman" w:cs="Times New Roman"/>
          <w:sz w:val="26"/>
          <w:szCs w:val="26"/>
        </w:rPr>
        <w:t>.</w:t>
      </w:r>
      <w:r w:rsidR="00E73C44" w:rsidRPr="00F83AF8">
        <w:rPr>
          <w:rFonts w:ascii="Times New Roman" w:hAnsi="Times New Roman" w:cs="Times New Roman"/>
          <w:sz w:val="26"/>
          <w:szCs w:val="26"/>
        </w:rPr>
        <w:t>………...</w:t>
      </w:r>
      <w:r w:rsidR="00E73C4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F83AF8" w:rsidRPr="00F83AF8">
        <w:rPr>
          <w:rFonts w:ascii="Times New Roman" w:hAnsi="Times New Roman" w:cs="Times New Roman"/>
          <w:b/>
          <w:sz w:val="26"/>
          <w:szCs w:val="26"/>
        </w:rPr>
        <w:t>4</w:t>
      </w:r>
    </w:p>
    <w:p w:rsidR="00DA4D40" w:rsidRPr="00DA4D40" w:rsidRDefault="00DA4D40" w:rsidP="00DA4D4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DA4D40">
        <w:rPr>
          <w:rFonts w:ascii="Times New Roman" w:hAnsi="Times New Roman" w:cs="Times New Roman"/>
          <w:sz w:val="26"/>
          <w:szCs w:val="26"/>
        </w:rPr>
        <w:t>1.4.5. Расчетные показатели муниципальных мест погребения</w:t>
      </w:r>
      <w:r>
        <w:rPr>
          <w:rFonts w:ascii="Times New Roman" w:hAnsi="Times New Roman" w:cs="Times New Roman"/>
          <w:sz w:val="26"/>
          <w:szCs w:val="26"/>
        </w:rPr>
        <w:t>……………………..</w:t>
      </w:r>
      <w:r w:rsidRPr="00DA4D40">
        <w:rPr>
          <w:rFonts w:ascii="Times New Roman" w:hAnsi="Times New Roman" w:cs="Times New Roman"/>
          <w:b/>
          <w:sz w:val="26"/>
          <w:szCs w:val="26"/>
        </w:rPr>
        <w:t>1</w:t>
      </w:r>
      <w:r w:rsidR="00B20509">
        <w:rPr>
          <w:rFonts w:ascii="Times New Roman" w:hAnsi="Times New Roman" w:cs="Times New Roman"/>
          <w:b/>
          <w:sz w:val="26"/>
          <w:szCs w:val="26"/>
        </w:rPr>
        <w:t>4</w:t>
      </w:r>
    </w:p>
    <w:p w:rsidR="00E73C44" w:rsidRPr="00B20509" w:rsidRDefault="00E73C44" w:rsidP="00D74B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2. Материалы по обоснованию расчётных показателей, содержащихся в основной части местных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района.....................................</w:t>
      </w:r>
      <w:r w:rsidR="00E73C44" w:rsidRPr="00F83AF8">
        <w:rPr>
          <w:rFonts w:ascii="Times New Roman" w:hAnsi="Times New Roman" w:cs="Times New Roman"/>
          <w:sz w:val="26"/>
          <w:szCs w:val="26"/>
        </w:rPr>
        <w:t>..</w:t>
      </w:r>
      <w:r w:rsidR="00917354" w:rsidRPr="00F83AF8">
        <w:rPr>
          <w:rFonts w:ascii="Times New Roman" w:hAnsi="Times New Roman" w:cs="Times New Roman"/>
          <w:b/>
          <w:sz w:val="26"/>
          <w:szCs w:val="26"/>
        </w:rPr>
        <w:t>1</w:t>
      </w:r>
      <w:r w:rsidR="00615820">
        <w:rPr>
          <w:rFonts w:ascii="Times New Roman" w:hAnsi="Times New Roman" w:cs="Times New Roman"/>
          <w:b/>
          <w:sz w:val="26"/>
          <w:szCs w:val="26"/>
        </w:rPr>
        <w:t>5</w:t>
      </w:r>
    </w:p>
    <w:p w:rsidR="00E73C44" w:rsidRPr="00F83AF8" w:rsidRDefault="00E73C44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3. Правила и область применения расчётных показателей, содержащихся в основной части местных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 xml:space="preserve"> Тей</w:t>
      </w:r>
      <w:r w:rsidR="002674EB">
        <w:rPr>
          <w:rFonts w:ascii="Times New Roman" w:hAnsi="Times New Roman" w:cs="Times New Roman"/>
          <w:sz w:val="26"/>
          <w:szCs w:val="26"/>
        </w:rPr>
        <w:t>ковского муниципального района.</w:t>
      </w:r>
      <w:r w:rsidR="007C3B75" w:rsidRPr="00F83AF8">
        <w:rPr>
          <w:rFonts w:ascii="Times New Roman" w:hAnsi="Times New Roman" w:cs="Times New Roman"/>
          <w:sz w:val="26"/>
          <w:szCs w:val="26"/>
        </w:rPr>
        <w:t>…..</w:t>
      </w:r>
      <w:r w:rsidR="00DA4D40">
        <w:rPr>
          <w:rFonts w:ascii="Times New Roman" w:hAnsi="Times New Roman" w:cs="Times New Roman"/>
          <w:b/>
          <w:sz w:val="26"/>
          <w:szCs w:val="26"/>
        </w:rPr>
        <w:t>20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3.1.Область применения расчетных показателей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="00DA4D40">
        <w:rPr>
          <w:rFonts w:ascii="Times New Roman" w:hAnsi="Times New Roman" w:cs="Times New Roman"/>
          <w:b/>
          <w:sz w:val="26"/>
          <w:szCs w:val="26"/>
        </w:rPr>
        <w:t>20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3.2.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Состав участников градостроительных отношений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615820">
        <w:rPr>
          <w:rFonts w:ascii="Times New Roman" w:hAnsi="Times New Roman" w:cs="Times New Roman"/>
          <w:b/>
          <w:sz w:val="26"/>
          <w:szCs w:val="26"/>
        </w:rPr>
        <w:t>2</w:t>
      </w:r>
      <w:r w:rsidR="00DA4D40">
        <w:rPr>
          <w:rFonts w:ascii="Times New Roman" w:hAnsi="Times New Roman" w:cs="Times New Roman"/>
          <w:b/>
          <w:sz w:val="26"/>
          <w:szCs w:val="26"/>
        </w:rPr>
        <w:t>1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917354" w:rsidRPr="00F83AF8" w:rsidRDefault="00755900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>3.3.</w:t>
      </w:r>
      <w:r w:rsidR="00917354" w:rsidRPr="00F83AF8">
        <w:rPr>
          <w:rFonts w:ascii="Times New Roman" w:hAnsi="Times New Roman" w:cs="Times New Roman"/>
          <w:sz w:val="26"/>
          <w:szCs w:val="26"/>
        </w:rPr>
        <w:t xml:space="preserve"> </w:t>
      </w:r>
      <w:r w:rsidRPr="00F83AF8">
        <w:rPr>
          <w:rFonts w:ascii="Times New Roman" w:hAnsi="Times New Roman" w:cs="Times New Roman"/>
          <w:sz w:val="26"/>
          <w:szCs w:val="26"/>
        </w:rPr>
        <w:t>Документы градостроительного проектирования</w:t>
      </w:r>
      <w:r w:rsidR="007C3B75" w:rsidRPr="00F83AF8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B20509">
        <w:rPr>
          <w:rFonts w:ascii="Times New Roman" w:hAnsi="Times New Roman" w:cs="Times New Roman"/>
          <w:b/>
          <w:sz w:val="26"/>
          <w:szCs w:val="26"/>
        </w:rPr>
        <w:t>21</w:t>
      </w:r>
      <w:r w:rsidRPr="00F83A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AAC" w:rsidRPr="00F83AF8" w:rsidRDefault="00A53AAC" w:rsidP="00D74B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3AF8">
        <w:rPr>
          <w:rFonts w:ascii="Times New Roman" w:hAnsi="Times New Roman" w:cs="Times New Roman"/>
          <w:sz w:val="26"/>
          <w:szCs w:val="26"/>
        </w:rPr>
        <w:t xml:space="preserve">4. </w:t>
      </w:r>
      <w:r w:rsidRPr="00F83AF8">
        <w:rPr>
          <w:rFonts w:ascii="Times New Roman" w:hAnsi="Times New Roman" w:cs="Times New Roman"/>
          <w:bCs/>
          <w:sz w:val="26"/>
          <w:szCs w:val="26"/>
        </w:rPr>
        <w:t>Перечень нормативных правовых актов и иных документов, используемых в нормативах градостроительного проектирования</w:t>
      </w:r>
      <w:r w:rsidR="00F83AF8" w:rsidRPr="00F83AF8">
        <w:rPr>
          <w:rFonts w:ascii="Times New Roman" w:hAnsi="Times New Roman" w:cs="Times New Roman"/>
          <w:bCs/>
          <w:sz w:val="26"/>
          <w:szCs w:val="26"/>
        </w:rPr>
        <w:t>……………………………………</w:t>
      </w:r>
      <w:r w:rsidR="00615820" w:rsidRPr="0061582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20509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E73C44" w:rsidRPr="00E73C44" w:rsidRDefault="00E73C44" w:rsidP="00E73C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7354" w:rsidRPr="00615820" w:rsidRDefault="00755900" w:rsidP="00E3518C">
      <w:pPr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ВВЕДЕНИЕ </w:t>
      </w:r>
    </w:p>
    <w:p w:rsidR="0029181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(далее также МНГП) разработаны </w:t>
      </w:r>
      <w:r w:rsidR="00291819" w:rsidRPr="00615820">
        <w:rPr>
          <w:rFonts w:ascii="Times New Roman" w:hAnsi="Times New Roman" w:cs="Times New Roman"/>
          <w:sz w:val="26"/>
          <w:szCs w:val="26"/>
        </w:rPr>
        <w:t>администрацией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федерального законодательства (ст. 29.1-29.4 Градостроительного кодекса Российской Федерации), Региональны</w:t>
      </w:r>
      <w:r w:rsidR="00633D21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</w:t>
      </w:r>
      <w:r w:rsidR="00633D21" w:rsidRPr="00615820">
        <w:rPr>
          <w:rFonts w:ascii="Times New Roman" w:hAnsi="Times New Roman" w:cs="Times New Roman"/>
          <w:sz w:val="26"/>
          <w:szCs w:val="26"/>
        </w:rPr>
        <w:t>ов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нормативно-правовых актов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633D21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  <w:r w:rsidR="0029181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9181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объектами местного значения и расчетных показателей максимально допустимого уровня территориальной доступности таких объектов для населения по соответствующим полномочиям.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Целью разработки местных нормативов градостроительного проектирования является обеспечение пространственного развития территории, соответствующего качеству жизни населения, предусмотренного документами планирования </w:t>
      </w:r>
      <w:r w:rsidR="00291819" w:rsidRPr="00615820">
        <w:rPr>
          <w:rFonts w:ascii="Times New Roman" w:hAnsi="Times New Roman" w:cs="Times New Roman"/>
          <w:sz w:val="26"/>
          <w:szCs w:val="26"/>
        </w:rPr>
        <w:t>социально-экономического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развития территории. </w:t>
      </w:r>
    </w:p>
    <w:p w:rsidR="00E3518C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МНГП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разработаны в целях: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организации управления градостроительной деятельностью на территории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2) обоснованного определения параметров развития территорий поселения 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территории;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3)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Задачами применения местных нормативов является создание условий для: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преобразования пространственной организации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обеспечивающего современные стандарты организации территорий жилого, производственного, рекреационного назначения;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2) планирования территорий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633D21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входит</w:t>
      </w:r>
      <w:r w:rsidR="00633D21" w:rsidRPr="00615820">
        <w:rPr>
          <w:rFonts w:ascii="Times New Roman" w:hAnsi="Times New Roman" w:cs="Times New Roman"/>
          <w:sz w:val="26"/>
          <w:szCs w:val="26"/>
        </w:rPr>
        <w:t>: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о</w:t>
      </w:r>
      <w:r w:rsidR="00755900" w:rsidRPr="00615820">
        <w:rPr>
          <w:rFonts w:ascii="Times New Roman" w:hAnsi="Times New Roman" w:cs="Times New Roman"/>
          <w:sz w:val="26"/>
          <w:szCs w:val="26"/>
        </w:rPr>
        <w:t>сновная часть, с</w:t>
      </w:r>
      <w:r w:rsidRPr="00615820">
        <w:rPr>
          <w:rFonts w:ascii="Times New Roman" w:hAnsi="Times New Roman" w:cs="Times New Roman"/>
          <w:sz w:val="26"/>
          <w:szCs w:val="26"/>
        </w:rPr>
        <w:t>одержащая расчетные показатели;</w:t>
      </w:r>
    </w:p>
    <w:p w:rsidR="00633D21" w:rsidRPr="00615820" w:rsidRDefault="00633D21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материалы по обоснованию расчетных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приведенных в основной части МНГП;</w:t>
      </w:r>
    </w:p>
    <w:p w:rsidR="00E3518C" w:rsidRPr="00615820" w:rsidRDefault="00633D21" w:rsidP="00633D2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</w:t>
      </w:r>
      <w:r w:rsidR="00755900" w:rsidRPr="00615820">
        <w:rPr>
          <w:rFonts w:ascii="Times New Roman" w:hAnsi="Times New Roman" w:cs="Times New Roman"/>
          <w:sz w:val="26"/>
          <w:szCs w:val="26"/>
        </w:rPr>
        <w:t>правила и область пр</w:t>
      </w:r>
      <w:r w:rsidRPr="00615820">
        <w:rPr>
          <w:rFonts w:ascii="Times New Roman" w:hAnsi="Times New Roman" w:cs="Times New Roman"/>
          <w:sz w:val="26"/>
          <w:szCs w:val="26"/>
        </w:rPr>
        <w:t>именения расчетных показателей</w:t>
      </w:r>
      <w:r w:rsidR="00D74BDC" w:rsidRPr="00615820">
        <w:rPr>
          <w:rFonts w:ascii="Times New Roman" w:hAnsi="Times New Roman" w:cs="Times New Roman"/>
          <w:sz w:val="26"/>
          <w:szCs w:val="26"/>
        </w:rPr>
        <w:t>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приведенных в основной части МНГП.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Основная часть МНГП содержит совокупность расчетных показателей минимально допустимого уровня обеспеченности объектами местного значения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29181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относящимся к областям: инженерного обеспечения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(электро-, тепло-, газо-, водоснабжения и водоотведения), в области транспорта (автомобильные дороги местного значения)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 в </w:t>
      </w:r>
      <w:r w:rsidRPr="00615820">
        <w:rPr>
          <w:rFonts w:ascii="Times New Roman" w:hAnsi="Times New Roman" w:cs="Times New Roman"/>
          <w:sz w:val="26"/>
          <w:szCs w:val="26"/>
        </w:rPr>
        <w:t xml:space="preserve">области физической культуры и спорта, в иных областей, связанных с решением вопросов местного значения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45C84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518C" w:rsidRPr="00615820" w:rsidRDefault="00755900" w:rsidP="0090050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Нормативы разработаны на основании статистических и демографических данных с учетом административно-территориального устройства поселения и муниципального района в целом, социально-демографического состава и плотности населения</w:t>
      </w:r>
      <w:r w:rsidR="00D74BDC" w:rsidRPr="0061582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природно-климатических особенностей, стратегий, программ и планов социально-экономического развития региона, </w:t>
      </w:r>
      <w:r w:rsidR="00D21894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района,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предложений </w:t>
      </w:r>
      <w:r w:rsidR="00CB446A" w:rsidRPr="00615820">
        <w:rPr>
          <w:rFonts w:ascii="Times New Roman" w:hAnsi="Times New Roman" w:cs="Times New Roman"/>
          <w:sz w:val="26"/>
          <w:szCs w:val="26"/>
        </w:rPr>
        <w:t>органов местного самоуправления,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CB446A" w:rsidRPr="00615820">
        <w:rPr>
          <w:rFonts w:ascii="Times New Roman" w:hAnsi="Times New Roman" w:cs="Times New Roman"/>
          <w:sz w:val="26"/>
          <w:szCs w:val="26"/>
        </w:rPr>
        <w:t>п</w:t>
      </w:r>
      <w:r w:rsidRPr="00615820">
        <w:rPr>
          <w:rFonts w:ascii="Times New Roman" w:hAnsi="Times New Roman" w:cs="Times New Roman"/>
          <w:sz w:val="26"/>
          <w:szCs w:val="26"/>
        </w:rPr>
        <w:t xml:space="preserve">о результатам анализа официальных источников информации 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Территориального органа Федеральной службы государственной статистики по </w:t>
      </w:r>
      <w:r w:rsidR="00900509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>, действующих документов градостроительного проектирования и территориального планирования, а также документов комплексного социально-экономичес</w:t>
      </w:r>
      <w:r w:rsidR="00CB446A" w:rsidRPr="00615820">
        <w:rPr>
          <w:rFonts w:ascii="Times New Roman" w:hAnsi="Times New Roman" w:cs="Times New Roman"/>
          <w:sz w:val="26"/>
          <w:szCs w:val="26"/>
        </w:rPr>
        <w:t>кого развития района и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. Нормативы направлены на обеспечение градостроительными средствами безопасности и устойчивости развития района 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от неблагоприятных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воздействий природного и техногенного характера, а также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социального и культурно-бытового обслуживания, транспортной инфраструктуры и благоустройства. </w:t>
      </w:r>
    </w:p>
    <w:p w:rsidR="00900509" w:rsidRPr="00615820" w:rsidRDefault="00E3518C" w:rsidP="0090050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 ОСНОВНАЯ ЧАСТЬ МЕСТНЫХ НОРМАТИВОВ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>ГР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АДОСТРОИТЕЛЬНОГО ПРОЕКТИРОВАНИЯ </w:t>
      </w:r>
      <w:r w:rsidR="002674EB">
        <w:rPr>
          <w:rFonts w:ascii="Times New Roman" w:hAnsi="Times New Roman" w:cs="Times New Roman"/>
          <w:b/>
          <w:sz w:val="26"/>
          <w:szCs w:val="26"/>
        </w:rPr>
        <w:t>НОВОЛЕУШИНСКОГО</w:t>
      </w:r>
      <w:r w:rsidR="00900509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E3518C" w:rsidRPr="00615820" w:rsidRDefault="00755900" w:rsidP="0090050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0050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исходя из текущей обеспеченности сельского поселения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демографической ситуации и уровня жизни населения. 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Перечень показателей установлен согласно положений</w:t>
      </w:r>
      <w:r w:rsidR="00900509" w:rsidRPr="00615820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</w:t>
      </w:r>
      <w:r w:rsidR="00B72749" w:rsidRPr="00615820">
        <w:rPr>
          <w:rFonts w:ascii="Times New Roman" w:hAnsi="Times New Roman" w:cs="Times New Roman"/>
          <w:sz w:val="26"/>
          <w:szCs w:val="26"/>
        </w:rPr>
        <w:t>.</w:t>
      </w:r>
    </w:p>
    <w:p w:rsidR="00B72749" w:rsidRPr="00615820" w:rsidRDefault="00755900" w:rsidP="00E3518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1.1 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(электро-, тепло-, газо- и водоснабжение населения, водоотведение) и показатели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b/>
          <w:sz w:val="26"/>
          <w:szCs w:val="26"/>
        </w:rPr>
        <w:t xml:space="preserve">Новолеушинского </w:t>
      </w:r>
      <w:r w:rsidR="00B72749" w:rsidRPr="00615820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Тейковского муниципального района </w:t>
      </w:r>
    </w:p>
    <w:p w:rsidR="00E3518C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таблицах 1.1.1. </w:t>
      </w:r>
    </w:p>
    <w:p w:rsidR="00AA79A3" w:rsidRPr="00615820" w:rsidRDefault="00755900" w:rsidP="000C4B33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1.1.1. Расчетные показатели объектов, относящихся к области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820" w:rsidRPr="00615820" w:rsidTr="000C4123">
        <w:tc>
          <w:tcPr>
            <w:tcW w:w="704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AA79A3">
        <w:tc>
          <w:tcPr>
            <w:tcW w:w="704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AA79A3">
        <w:tc>
          <w:tcPr>
            <w:tcW w:w="704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</w:tcPr>
          <w:p w:rsidR="00AA79A3" w:rsidRPr="00615820" w:rsidRDefault="008B6950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Электроэнергия, электропотребление</w:t>
            </w:r>
          </w:p>
        </w:tc>
        <w:tc>
          <w:tcPr>
            <w:tcW w:w="2336" w:type="dxa"/>
          </w:tcPr>
          <w:p w:rsidR="00CB446A" w:rsidRPr="00615820" w:rsidRDefault="00CB446A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кВт ч/ год</w:t>
            </w:r>
          </w:p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на 1 чел.</w:t>
            </w:r>
          </w:p>
        </w:tc>
        <w:tc>
          <w:tcPr>
            <w:tcW w:w="2337" w:type="dxa"/>
          </w:tcPr>
          <w:p w:rsidR="00AA79A3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615820" w:rsidRPr="00615820" w:rsidTr="00AA79A3">
        <w:tc>
          <w:tcPr>
            <w:tcW w:w="704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</w:tcPr>
          <w:p w:rsidR="00D21894" w:rsidRPr="00615820" w:rsidRDefault="00D21894" w:rsidP="00E3518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Использование максимума электрической нагрузки</w:t>
            </w:r>
          </w:p>
        </w:tc>
        <w:tc>
          <w:tcPr>
            <w:tcW w:w="2336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ч/год</w:t>
            </w:r>
          </w:p>
        </w:tc>
        <w:tc>
          <w:tcPr>
            <w:tcW w:w="2337" w:type="dxa"/>
          </w:tcPr>
          <w:p w:rsidR="00D21894" w:rsidRPr="00615820" w:rsidRDefault="00D21894" w:rsidP="00D218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4100</w:t>
            </w:r>
          </w:p>
        </w:tc>
      </w:tr>
    </w:tbl>
    <w:p w:rsidR="00AA79A3" w:rsidRPr="00615820" w:rsidRDefault="00AA79A3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1.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 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Расчёт электрических нагрузок для разных типов застройки следует производить в соответствии с нормами РД 34.20.185-94.</w:t>
      </w:r>
    </w:p>
    <w:p w:rsidR="008B6950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4. В целях защиты населения от воздействия электрического поля ВЛ устанавливаются санитарно-защитные зоны. Санитарно-защитной зоной ВЛ является территория вдоль трассы ВЛ, в которой напряженность электрического поля превышает 1 кВ/м. </w:t>
      </w:r>
    </w:p>
    <w:p w:rsidR="008B6950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1.1.2.</w:t>
      </w:r>
      <w:r w:rsidR="008B695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Охранные зоны ВЛ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8B6950">
        <w:tc>
          <w:tcPr>
            <w:tcW w:w="84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8B6950" w:rsidRPr="00615820" w:rsidRDefault="008B6950" w:rsidP="008B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до 1кВ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1-20 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820" w:rsidRPr="00615820" w:rsidTr="008B6950">
        <w:tc>
          <w:tcPr>
            <w:tcW w:w="84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82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ВЛ 35кВ</w:t>
            </w:r>
          </w:p>
        </w:tc>
        <w:tc>
          <w:tcPr>
            <w:tcW w:w="2336" w:type="dxa"/>
          </w:tcPr>
          <w:p w:rsidR="008B6950" w:rsidRPr="00615820" w:rsidRDefault="0056088A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8B6950" w:rsidRPr="00615820" w:rsidRDefault="00D21894" w:rsidP="0056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6088A" w:rsidRPr="00615820" w:rsidRDefault="00755900" w:rsidP="000C4B3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</w:t>
      </w:r>
      <w:r w:rsidR="0056088A" w:rsidRPr="00615820">
        <w:rPr>
          <w:rFonts w:ascii="Times New Roman" w:hAnsi="Times New Roman" w:cs="Times New Roman"/>
          <w:sz w:val="26"/>
          <w:szCs w:val="26"/>
        </w:rPr>
        <w:t>.</w:t>
      </w:r>
    </w:p>
    <w:p w:rsidR="0056088A" w:rsidRPr="00615820" w:rsidRDefault="00755900" w:rsidP="00E3518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Охранная зона ВЛ напряжения 1-20 кВ составляет 5м для линий с самонесущими или изолированными проводами, размещенных в границах населённых пунктов </w:t>
      </w:r>
    </w:p>
    <w:p w:rsidR="0056088A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1.1.3. Размеры земельных участков для объектов электроснабжения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объекта в зависимости от назначения</w:t>
            </w:r>
          </w:p>
        </w:tc>
        <w:tc>
          <w:tcPr>
            <w:tcW w:w="3115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м2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Мачтовые и комплектные (КТП) подстанции 35/0,38 кВ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Мачтовые подстанции мощностью от 25 до 250 кВ·А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15820" w:rsidRPr="00615820" w:rsidTr="00C655A4">
        <w:tc>
          <w:tcPr>
            <w:tcW w:w="704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526" w:type="dxa"/>
          </w:tcPr>
          <w:p w:rsidR="0056088A" w:rsidRPr="00615820" w:rsidRDefault="00C655A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Опоры воздушных линий электропередачи</w:t>
            </w:r>
          </w:p>
        </w:tc>
        <w:tc>
          <w:tcPr>
            <w:tcW w:w="3115" w:type="dxa"/>
          </w:tcPr>
          <w:p w:rsidR="0056088A" w:rsidRPr="00615820" w:rsidRDefault="00D21894" w:rsidP="00C655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1894" w:rsidRPr="00615820" w:rsidRDefault="00D21894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749FE" w:rsidRPr="00615820" w:rsidRDefault="00F749FE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655A4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Таблица 1.1.4. Расчетные показатели уровня потребления коммунальной услуги по газоснабжению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C655A4" w:rsidRPr="00615820" w:rsidRDefault="00D21894" w:rsidP="00C65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3" w:type="dxa"/>
            <w:gridSpan w:val="2"/>
          </w:tcPr>
          <w:p w:rsidR="00C655A4" w:rsidRPr="00615820" w:rsidRDefault="00C655A4" w:rsidP="00C65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Потребление газа на индивидуально-бытовые нужды населения при наличии централизованного горячего водоснабжения</w:t>
            </w:r>
          </w:p>
        </w:tc>
        <w:tc>
          <w:tcPr>
            <w:tcW w:w="2336" w:type="dxa"/>
          </w:tcPr>
          <w:p w:rsidR="00C655A4" w:rsidRPr="00615820" w:rsidRDefault="00A066F9" w:rsidP="00A06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0C4123">
        <w:tc>
          <w:tcPr>
            <w:tcW w:w="846" w:type="dxa"/>
          </w:tcPr>
          <w:p w:rsidR="00C655A4" w:rsidRPr="00615820" w:rsidRDefault="00C655A4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Потребление газа на индивидуально-бытовые нужды населения при горячем водоснабжении от газовых водонагревателях</w:t>
            </w:r>
          </w:p>
        </w:tc>
        <w:tc>
          <w:tcPr>
            <w:tcW w:w="2336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м/чел. в год</w:t>
            </w:r>
          </w:p>
        </w:tc>
        <w:tc>
          <w:tcPr>
            <w:tcW w:w="2337" w:type="dxa"/>
          </w:tcPr>
          <w:p w:rsidR="00C655A4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615820" w:rsidRPr="00615820" w:rsidTr="000C4123">
        <w:tc>
          <w:tcPr>
            <w:tcW w:w="9345" w:type="dxa"/>
            <w:gridSpan w:val="4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Для отопления жилых помещений</w:t>
            </w:r>
          </w:p>
        </w:tc>
      </w:tr>
      <w:tr w:rsidR="00615820" w:rsidRPr="00615820" w:rsidTr="000C4123">
        <w:tc>
          <w:tcPr>
            <w:tcW w:w="846" w:type="dxa"/>
          </w:tcPr>
          <w:p w:rsidR="008A4B7B" w:rsidRPr="00615820" w:rsidRDefault="00576198" w:rsidP="000C4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4B7B" w:rsidRPr="00615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Многоквартирные и жилые дома при газоснабжении природным газом</w:t>
            </w:r>
          </w:p>
        </w:tc>
        <w:tc>
          <w:tcPr>
            <w:tcW w:w="2336" w:type="dxa"/>
          </w:tcPr>
          <w:p w:rsidR="008A4B7B" w:rsidRPr="00615820" w:rsidRDefault="008A4B7B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куб. м / кв. м общей площади жилых помещений в год</w:t>
            </w:r>
          </w:p>
        </w:tc>
        <w:tc>
          <w:tcPr>
            <w:tcW w:w="2337" w:type="dxa"/>
          </w:tcPr>
          <w:p w:rsidR="008A4B7B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</w:tr>
    </w:tbl>
    <w:p w:rsidR="00C655A4" w:rsidRPr="00615820" w:rsidRDefault="00C655A4" w:rsidP="000D4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2F9" w:rsidRPr="00615820" w:rsidRDefault="00A272F9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Указанные нормы следует применять с учётом требований СП 62.13330.2011 </w:t>
      </w:r>
    </w:p>
    <w:p w:rsidR="00A272F9" w:rsidRPr="00615820" w:rsidRDefault="00755900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Размеры земельных участков газонаполнительных станций (ГНС) в зависимости от их производительности следует принимать по проекту. </w:t>
      </w:r>
    </w:p>
    <w:p w:rsidR="000D4687" w:rsidRPr="00615820" w:rsidRDefault="000D4687" w:rsidP="00A272F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1.1.5. Охранные зоны газопровода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Тип газопровода</w:t>
            </w:r>
          </w:p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37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наружных газопроводов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CB23A5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0C4123">
        <w:tc>
          <w:tcPr>
            <w:tcW w:w="84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Вдоль трасс подземных газопроводов 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2336" w:type="dxa"/>
          </w:tcPr>
          <w:p w:rsidR="00A272F9" w:rsidRPr="00615820" w:rsidRDefault="00A272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Охранная зона, м</w:t>
            </w:r>
          </w:p>
        </w:tc>
        <w:tc>
          <w:tcPr>
            <w:tcW w:w="2337" w:type="dxa"/>
          </w:tcPr>
          <w:p w:rsidR="00A272F9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 *</w:t>
            </w:r>
          </w:p>
        </w:tc>
      </w:tr>
    </w:tbl>
    <w:p w:rsidR="00A272F9" w:rsidRPr="00615820" w:rsidRDefault="00A272F9" w:rsidP="00A272F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 </w:t>
      </w:r>
    </w:p>
    <w:p w:rsidR="00A272F9" w:rsidRPr="00615820" w:rsidRDefault="00755900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272F9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 xml:space="preserve">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 </w:t>
      </w:r>
    </w:p>
    <w:p w:rsidR="00A272F9" w:rsidRPr="00615820" w:rsidRDefault="00256445" w:rsidP="00A272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A066F9"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Pr="00615820">
        <w:rPr>
          <w:rFonts w:ascii="Times New Roman" w:hAnsi="Times New Roman" w:cs="Times New Roman"/>
          <w:sz w:val="26"/>
          <w:szCs w:val="26"/>
        </w:rPr>
        <w:t xml:space="preserve"> 3 </w:t>
      </w:r>
      <w:r w:rsidR="00755900" w:rsidRPr="00615820">
        <w:rPr>
          <w:rFonts w:ascii="Times New Roman" w:hAnsi="Times New Roman" w:cs="Times New Roman"/>
          <w:sz w:val="26"/>
          <w:szCs w:val="26"/>
        </w:rPr>
        <w:t>метра от газопровода со стороны провода и 2 метра - с противоположной стороны</w:t>
      </w:r>
      <w:r w:rsidR="00A272F9" w:rsidRPr="00615820">
        <w:rPr>
          <w:rFonts w:ascii="Times New Roman" w:hAnsi="Times New Roman" w:cs="Times New Roman"/>
          <w:sz w:val="26"/>
          <w:szCs w:val="26"/>
        </w:rPr>
        <w:t>.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2F9" w:rsidRPr="00615820" w:rsidRDefault="00755900" w:rsidP="00A272F9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1.1.6. Размеры земельных участков для объектов газоснабжения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615820" w:rsidRPr="00615820" w:rsidTr="0006516D">
        <w:tc>
          <w:tcPr>
            <w:tcW w:w="846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станций</w:t>
            </w:r>
          </w:p>
        </w:tc>
        <w:tc>
          <w:tcPr>
            <w:tcW w:w="3115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Промежуточных складов баллонов (ПСБ)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15820" w:rsidRPr="00615820" w:rsidTr="0006516D">
        <w:tc>
          <w:tcPr>
            <w:tcW w:w="846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6516D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384" w:type="dxa"/>
          </w:tcPr>
          <w:p w:rsidR="0006516D" w:rsidRPr="00615820" w:rsidRDefault="0006516D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Газораспределительный пункт (ГРП)</w:t>
            </w:r>
          </w:p>
        </w:tc>
        <w:tc>
          <w:tcPr>
            <w:tcW w:w="3115" w:type="dxa"/>
          </w:tcPr>
          <w:p w:rsidR="0006516D" w:rsidRPr="00615820" w:rsidRDefault="00A066F9" w:rsidP="00A27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</w:tr>
    </w:tbl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Расчёт показателя в области Теплоснабжения не подлежит нормированию, в связи с тем, что теплоснабжение жилых домов и муниципальных учреждений индивидуальное (котельные и бойлеры). </w:t>
      </w:r>
    </w:p>
    <w:p w:rsidR="0006516D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</w:t>
      </w:r>
      <w:r w:rsidR="00CB23A5" w:rsidRPr="00615820">
        <w:rPr>
          <w:rFonts w:ascii="Times New Roman" w:hAnsi="Times New Roman" w:cs="Times New Roman"/>
          <w:sz w:val="26"/>
          <w:szCs w:val="26"/>
        </w:rPr>
        <w:t>следует принимать по таблице 1.1</w:t>
      </w:r>
      <w:r w:rsidRPr="00615820">
        <w:rPr>
          <w:rFonts w:ascii="Times New Roman" w:hAnsi="Times New Roman" w:cs="Times New Roman"/>
          <w:sz w:val="26"/>
          <w:szCs w:val="26"/>
        </w:rPr>
        <w:t xml:space="preserve">.7. </w:t>
      </w:r>
    </w:p>
    <w:p w:rsidR="0006516D" w:rsidRPr="00615820" w:rsidRDefault="00755900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1.1.7. Расчетные показатели объектов, </w:t>
      </w:r>
      <w:r w:rsidR="00CB23A5" w:rsidRPr="00615820">
        <w:rPr>
          <w:rFonts w:ascii="Times New Roman" w:hAnsi="Times New Roman" w:cs="Times New Roman"/>
          <w:sz w:val="26"/>
          <w:szCs w:val="26"/>
        </w:rPr>
        <w:t>относящихся к области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615820" w:rsidRPr="00615820" w:rsidTr="000C4123">
        <w:tc>
          <w:tcPr>
            <w:tcW w:w="84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Теплопроизводительность котельных, МВт</w:t>
            </w:r>
            <w:r w:rsidRPr="00615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gridSpan w:val="2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га, работающих</w:t>
            </w:r>
          </w:p>
        </w:tc>
      </w:tr>
      <w:tr w:rsidR="00615820" w:rsidRPr="00615820" w:rsidTr="000C4123">
        <w:tc>
          <w:tcPr>
            <w:tcW w:w="84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 твердом топливе</w:t>
            </w:r>
          </w:p>
        </w:tc>
        <w:tc>
          <w:tcPr>
            <w:tcW w:w="2337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 газомазутном топливе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15820" w:rsidRPr="00615820" w:rsidTr="000C4123">
        <w:tc>
          <w:tcPr>
            <w:tcW w:w="84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826" w:type="dxa"/>
          </w:tcPr>
          <w:p w:rsidR="0006516D" w:rsidRPr="00615820" w:rsidRDefault="0006516D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336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37" w:type="dxa"/>
          </w:tcPr>
          <w:p w:rsidR="0006516D" w:rsidRPr="00615820" w:rsidRDefault="00A066F9" w:rsidP="000C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6516D" w:rsidRPr="00615820" w:rsidRDefault="0006516D" w:rsidP="0006516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84DF4" w:rsidRPr="00615820" w:rsidRDefault="00755900" w:rsidP="00F84DF4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1.1.8. Расчетные показатели объектов, относящихся к области водоснабжения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820" w:rsidRPr="00615820" w:rsidTr="00F84DF4">
        <w:tc>
          <w:tcPr>
            <w:tcW w:w="4672" w:type="dxa"/>
          </w:tcPr>
          <w:p w:rsidR="00F84DF4" w:rsidRPr="00615820" w:rsidRDefault="00F84DF4" w:rsidP="000651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жилого помещения при централизованном холодном водоснабжении (с отсутствием горячего водоснабжения)</w:t>
            </w:r>
          </w:p>
        </w:tc>
        <w:tc>
          <w:tcPr>
            <w:tcW w:w="4673" w:type="dxa"/>
          </w:tcPr>
          <w:p w:rsidR="00F84DF4" w:rsidRPr="00615820" w:rsidRDefault="00F84DF4" w:rsidP="00AE2C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 холодного водоснабжения, </w:t>
            </w:r>
            <w:r w:rsidR="00A066F9"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л/сут. на 1 жит.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AE2CD5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Норма водопотребления при застройке здания</w:t>
            </w:r>
            <w:r w:rsidR="00CB23A5" w:rsidRPr="00615820">
              <w:rPr>
                <w:rFonts w:ascii="Times New Roman" w:hAnsi="Times New Roman" w:cs="Times New Roman"/>
                <w:sz w:val="26"/>
                <w:szCs w:val="26"/>
              </w:rPr>
              <w:t>ми, оборудованными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внутренним водопроводом и канализацией без ванн</w:t>
            </w:r>
          </w:p>
        </w:tc>
        <w:tc>
          <w:tcPr>
            <w:tcW w:w="4673" w:type="dxa"/>
          </w:tcPr>
          <w:p w:rsidR="00F84DF4" w:rsidRPr="00615820" w:rsidRDefault="00AE2CD5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CB23A5" w:rsidP="00CB23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зданиями, оборудованными внутренним водопроводом и канализацией </w:t>
            </w:r>
            <w:r w:rsidR="00F61B37" w:rsidRPr="00615820">
              <w:rPr>
                <w:rFonts w:ascii="Times New Roman" w:hAnsi="Times New Roman" w:cs="Times New Roman"/>
                <w:sz w:val="26"/>
                <w:szCs w:val="26"/>
              </w:rPr>
              <w:t>с ваннами и водонагревателям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615820" w:rsidRPr="00615820" w:rsidTr="00F84DF4">
        <w:tc>
          <w:tcPr>
            <w:tcW w:w="4672" w:type="dxa"/>
          </w:tcPr>
          <w:p w:rsidR="00F84DF4" w:rsidRPr="00615820" w:rsidRDefault="00F61B37" w:rsidP="000651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Норма водопотребления при застройке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централизованным водоснабжением </w:t>
            </w:r>
          </w:p>
        </w:tc>
        <w:tc>
          <w:tcPr>
            <w:tcW w:w="4673" w:type="dxa"/>
          </w:tcPr>
          <w:p w:rsidR="00F84DF4" w:rsidRPr="00615820" w:rsidRDefault="00F61B37" w:rsidP="00F61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220</w:t>
            </w:r>
          </w:p>
        </w:tc>
      </w:tr>
    </w:tbl>
    <w:p w:rsidR="00943A0E" w:rsidRPr="00615820" w:rsidRDefault="00943A0E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3A0E" w:rsidRPr="00615820" w:rsidRDefault="00755900" w:rsidP="0006516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Показатели следует принимать по проекту, согласно СП 42.13330. 2011, но не более указанных в таблице. </w:t>
      </w:r>
    </w:p>
    <w:p w:rsidR="00943A0E" w:rsidRPr="00615820" w:rsidRDefault="00755900" w:rsidP="00943A0E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1.1.10. Расчетные показатели объектов, относящихся к области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615820" w:rsidRPr="00615820" w:rsidTr="000C4123">
        <w:tc>
          <w:tcPr>
            <w:tcW w:w="988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4" w:type="dxa"/>
            <w:vMerge w:val="restart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 (Наименование ресурса)</w:t>
            </w:r>
          </w:p>
        </w:tc>
        <w:tc>
          <w:tcPr>
            <w:tcW w:w="4673" w:type="dxa"/>
            <w:gridSpan w:val="2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</w:tr>
      <w:tr w:rsidR="00615820" w:rsidRPr="00615820" w:rsidTr="000C4123">
        <w:tc>
          <w:tcPr>
            <w:tcW w:w="988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4" w:type="dxa"/>
            <w:vMerge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2337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общественными зданиями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15820" w:rsidRPr="00615820" w:rsidTr="000C4123">
        <w:tc>
          <w:tcPr>
            <w:tcW w:w="988" w:type="dxa"/>
          </w:tcPr>
          <w:p w:rsidR="00943A0E" w:rsidRPr="00615820" w:rsidRDefault="00943A0E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684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Бытовая канализация, зона застройки индивидуальными жилыми домами</w:t>
            </w:r>
          </w:p>
        </w:tc>
        <w:tc>
          <w:tcPr>
            <w:tcW w:w="2336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% от водопотребления</w:t>
            </w:r>
          </w:p>
        </w:tc>
        <w:tc>
          <w:tcPr>
            <w:tcW w:w="2337" w:type="dxa"/>
          </w:tcPr>
          <w:p w:rsidR="00943A0E" w:rsidRPr="00615820" w:rsidRDefault="000D61C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D61CD" w:rsidRPr="00615820" w:rsidRDefault="00755900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Водоотведение от индивидуальных жилых домов допускается индивидуальное в локальные очистные сооружения, септики, выгреба.</w:t>
      </w:r>
    </w:p>
    <w:p w:rsidR="00CB23A5" w:rsidRPr="00615820" w:rsidRDefault="00CB23A5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1.1.11.Размеры земельных участков для очистных сооружений канализации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Тип очистных сооружений канализации (в зависимости от производительности), тыс. м3 /сут.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земельных участков, га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 0,7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820" w:rsidRPr="00615820" w:rsidTr="000D61CD">
        <w:tc>
          <w:tcPr>
            <w:tcW w:w="988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242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св. 0,7 до 17</w:t>
            </w:r>
          </w:p>
        </w:tc>
        <w:tc>
          <w:tcPr>
            <w:tcW w:w="3115" w:type="dxa"/>
          </w:tcPr>
          <w:p w:rsidR="000D61CD" w:rsidRPr="00615820" w:rsidRDefault="000D61CD" w:rsidP="000D61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0D61CD" w:rsidRPr="00615820" w:rsidRDefault="000D61CD" w:rsidP="000D61C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61CD" w:rsidRPr="00615820" w:rsidRDefault="00755900" w:rsidP="000D61C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1.1.12.Расстояния по горизонтали (в свету) от ближайших подземных инженерных сетей до зданий и сооружений (показатель максимально допустимого уровня территориальной доступности)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37"/>
        <w:gridCol w:w="1423"/>
        <w:gridCol w:w="1141"/>
        <w:gridCol w:w="1131"/>
        <w:gridCol w:w="532"/>
        <w:gridCol w:w="886"/>
      </w:tblGrid>
      <w:tr w:rsidR="00615820" w:rsidRPr="00615820" w:rsidTr="00CB23A5">
        <w:tc>
          <w:tcPr>
            <w:tcW w:w="1809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Инженерные сети</w:t>
            </w:r>
          </w:p>
        </w:tc>
        <w:tc>
          <w:tcPr>
            <w:tcW w:w="1134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зданий и сооружений</w:t>
            </w:r>
          </w:p>
        </w:tc>
        <w:tc>
          <w:tcPr>
            <w:tcW w:w="1437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1423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1141" w:type="dxa"/>
            <w:vMerge w:val="restart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наружной бровки кювета или подошвы насыпи дороги</w:t>
            </w:r>
          </w:p>
        </w:tc>
        <w:tc>
          <w:tcPr>
            <w:tcW w:w="2549" w:type="dxa"/>
            <w:gridSpan w:val="3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фундаментов опор воздушных линий электропередачи напряжением</w:t>
            </w:r>
          </w:p>
        </w:tc>
      </w:tr>
      <w:tr w:rsidR="00615820" w:rsidRPr="00615820" w:rsidTr="00CB23A5">
        <w:tc>
          <w:tcPr>
            <w:tcW w:w="1809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до 1 кВ наружного освещения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св. 1 до 35 кВ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820">
              <w:rPr>
                <w:rFonts w:ascii="Times New Roman" w:hAnsi="Times New Roman" w:cs="Times New Roman"/>
                <w:b/>
                <w:sz w:val="20"/>
                <w:szCs w:val="20"/>
              </w:rPr>
              <w:t>св. 35 до 110 кВ и выше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Водопровод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Самотечная канализация (бытовая)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5820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Кабели силовые всех напряжений и кабели связи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E7545" w:rsidRPr="00615820" w:rsidTr="00CB23A5">
        <w:tc>
          <w:tcPr>
            <w:tcW w:w="1809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Каналы, коммуникационные тоннели</w:t>
            </w:r>
          </w:p>
        </w:tc>
        <w:tc>
          <w:tcPr>
            <w:tcW w:w="1134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3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4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EE7545" w:rsidRPr="00615820" w:rsidRDefault="00EE7545" w:rsidP="00EE7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446E" w:rsidRPr="006158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CB23A5" w:rsidRPr="00615820" w:rsidRDefault="00CB23A5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446E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Примечание:</w:t>
      </w:r>
    </w:p>
    <w:p w:rsidR="006F5BE7" w:rsidRPr="00615820" w:rsidRDefault="00C4446E" w:rsidP="00EE75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*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Относится к расстояниям только от силовых кабелей.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</w:t>
      </w:r>
      <w:r w:rsidR="00755900" w:rsidRPr="00615820">
        <w:rPr>
          <w:rFonts w:ascii="Times New Roman" w:hAnsi="Times New Roman" w:cs="Times New Roman"/>
          <w:sz w:val="26"/>
          <w:szCs w:val="26"/>
        </w:rPr>
        <w:t xml:space="preserve">Допускается предусматривать прокладку подземных инженерных сетей в пределах фундаментов опор и эстакад трубопроводов, контактной сети при условии выполнения мер, исключающих возможность повреждения сетей в случае осадки фундаментов, а также повреждения фундаментов при аварии на этих сетях. При размещении инженерных сетей, подлежащих прокладке с применением строительного водопонижения, их расстояние до зданий и сооружений следует устанавливать с учетом зоны возможного нарушения прочности грунтов оснований. </w:t>
      </w:r>
    </w:p>
    <w:p w:rsidR="00C4446E" w:rsidRPr="00615820" w:rsidRDefault="00C4446E" w:rsidP="006F5B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1.2 Расчётные показатели минимально допустимого уровня обеспеченности объектами местного значения сельского поселения в области транспорта (автомобильные дороги местного значения)</w:t>
      </w:r>
    </w:p>
    <w:p w:rsidR="006F5BE7" w:rsidRPr="00615820" w:rsidRDefault="00755900" w:rsidP="006F5BE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таблице1.2.1 </w:t>
      </w:r>
    </w:p>
    <w:p w:rsidR="006F5BE7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Таблица 1.2.1</w:t>
      </w:r>
      <w:r w:rsidR="00F61B37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 xml:space="preserve">Расчетные параметры улиц и дорог различных категорий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116"/>
        <w:gridCol w:w="1152"/>
        <w:gridCol w:w="1152"/>
        <w:gridCol w:w="1401"/>
        <w:gridCol w:w="1379"/>
        <w:gridCol w:w="1329"/>
      </w:tblGrid>
      <w:tr w:rsidR="00615820" w:rsidRPr="00615820" w:rsidTr="0018538B">
        <w:tc>
          <w:tcPr>
            <w:tcW w:w="19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1092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Расчетная скорость движения км/ч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движения, м</w:t>
            </w:r>
          </w:p>
        </w:tc>
        <w:tc>
          <w:tcPr>
            <w:tcW w:w="1125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движения, шт.</w:t>
            </w:r>
          </w:p>
        </w:tc>
        <w:tc>
          <w:tcPr>
            <w:tcW w:w="1367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Наименьший радиус кривых в плане, м</w:t>
            </w:r>
          </w:p>
        </w:tc>
        <w:tc>
          <w:tcPr>
            <w:tcW w:w="1346" w:type="dxa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продольный уклон, </w:t>
            </w:r>
            <w:r w:rsidR="0018538B" w:rsidRPr="006158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Ширина пешеходной части тротуара, м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значения:</w:t>
            </w:r>
          </w:p>
        </w:tc>
        <w:tc>
          <w:tcPr>
            <w:tcW w:w="7353" w:type="dxa"/>
            <w:gridSpan w:val="6"/>
          </w:tcPr>
          <w:p w:rsidR="006F5BE7" w:rsidRPr="00615820" w:rsidRDefault="006F5BE7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820" w:rsidRPr="00615820" w:rsidTr="00107C19">
        <w:trPr>
          <w:trHeight w:val="513"/>
        </w:trPr>
        <w:tc>
          <w:tcPr>
            <w:tcW w:w="19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жилой застройке</w:t>
            </w:r>
          </w:p>
        </w:tc>
        <w:tc>
          <w:tcPr>
            <w:tcW w:w="1092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8" w:type="dxa"/>
          </w:tcPr>
          <w:p w:rsidR="00107C19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15820" w:rsidRPr="00615820" w:rsidTr="00D74BDC">
        <w:trPr>
          <w:trHeight w:val="1196"/>
        </w:trPr>
        <w:tc>
          <w:tcPr>
            <w:tcW w:w="19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в общественно-деловых и торговых зонах</w:t>
            </w:r>
          </w:p>
        </w:tc>
        <w:tc>
          <w:tcPr>
            <w:tcW w:w="1092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5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46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98" w:type="dxa"/>
          </w:tcPr>
          <w:p w:rsidR="00107C19" w:rsidRPr="00615820" w:rsidRDefault="00107C19" w:rsidP="0018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c>
          <w:tcPr>
            <w:tcW w:w="19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Улицы и дороги в производственных зонах</w:t>
            </w:r>
          </w:p>
        </w:tc>
        <w:tc>
          <w:tcPr>
            <w:tcW w:w="1092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</w:tcPr>
          <w:p w:rsidR="006F5BE7" w:rsidRPr="00615820" w:rsidRDefault="0018538B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110/140</w:t>
            </w:r>
          </w:p>
        </w:tc>
        <w:tc>
          <w:tcPr>
            <w:tcW w:w="1346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8" w:type="dxa"/>
          </w:tcPr>
          <w:p w:rsidR="006F5BE7" w:rsidRPr="00615820" w:rsidRDefault="0018538B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Хозяйственный проезд, скотопрогоны </w:t>
            </w:r>
          </w:p>
        </w:tc>
        <w:tc>
          <w:tcPr>
            <w:tcW w:w="1092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25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</w:tcPr>
          <w:p w:rsidR="006F5BE7" w:rsidRPr="00615820" w:rsidRDefault="00107C19" w:rsidP="006F5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820" w:rsidRPr="00615820" w:rsidTr="00107C19">
        <w:trPr>
          <w:trHeight w:val="244"/>
        </w:trPr>
        <w:tc>
          <w:tcPr>
            <w:tcW w:w="9345" w:type="dxa"/>
            <w:gridSpan w:val="7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</w:tr>
      <w:tr w:rsidR="00615820" w:rsidRPr="00615820" w:rsidTr="0018538B">
        <w:trPr>
          <w:trHeight w:val="923"/>
        </w:trPr>
        <w:tc>
          <w:tcPr>
            <w:tcW w:w="19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Пешеходные улицы и площади</w:t>
            </w:r>
          </w:p>
        </w:tc>
        <w:tc>
          <w:tcPr>
            <w:tcW w:w="1092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1125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расчету</w:t>
            </w:r>
          </w:p>
        </w:tc>
        <w:tc>
          <w:tcPr>
            <w:tcW w:w="1367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8" w:type="dxa"/>
          </w:tcPr>
          <w:p w:rsidR="00107C19" w:rsidRPr="00615820" w:rsidRDefault="00107C19" w:rsidP="0010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 проекту</w:t>
            </w:r>
          </w:p>
        </w:tc>
      </w:tr>
    </w:tbl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дальность пешеходных подходов к ближайшей остановке общественного</w:t>
      </w:r>
      <w:r w:rsidR="00733E4F" w:rsidRPr="00615820">
        <w:rPr>
          <w:rFonts w:ascii="Times New Roman" w:hAnsi="Times New Roman" w:cs="Times New Roman"/>
          <w:sz w:val="26"/>
          <w:szCs w:val="26"/>
        </w:rPr>
        <w:t xml:space="preserve"> транспорта должна быть не более 800 м.</w:t>
      </w:r>
    </w:p>
    <w:p w:rsidR="00107C19" w:rsidRPr="00615820" w:rsidRDefault="00107C19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E56" w:rsidRPr="00615820" w:rsidRDefault="007A4E56" w:rsidP="007A4E5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1.3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b/>
          <w:sz w:val="26"/>
          <w:szCs w:val="26"/>
        </w:rPr>
        <w:t>Новолеушинского</w:t>
      </w:r>
      <w:r w:rsidR="005326AF" w:rsidRPr="0061582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Тейковского муниципального района</w:t>
      </w:r>
    </w:p>
    <w:p w:rsidR="007A4E56" w:rsidRPr="00615820" w:rsidRDefault="00755900" w:rsidP="007A4E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</w:t>
      </w:r>
      <w:r w:rsidR="00F749FE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1.3.1.</w:t>
      </w:r>
    </w:p>
    <w:p w:rsidR="007A4E56" w:rsidRPr="00615820" w:rsidRDefault="00755900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Таблица 1.3.1.Расчетные показатели объектов в области физической культуры и массового спорта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19"/>
        <w:gridCol w:w="1492"/>
        <w:gridCol w:w="1242"/>
        <w:gridCol w:w="2630"/>
        <w:gridCol w:w="1242"/>
      </w:tblGrid>
      <w:tr w:rsidR="00615820" w:rsidRPr="00615820" w:rsidTr="000C4123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минимально допустимого уровня обеспеченности</w:t>
            </w:r>
          </w:p>
        </w:tc>
        <w:tc>
          <w:tcPr>
            <w:tcW w:w="3116" w:type="dxa"/>
            <w:gridSpan w:val="2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 максимально допустимого уровня территориальной доступности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268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физкультурно-оздоровительных занятий (спортивные залы)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м² общ. площади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способность, чел./смену на 100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5820" w:rsidRPr="00615820" w:rsidTr="007A4E56">
        <w:tc>
          <w:tcPr>
            <w:tcW w:w="846" w:type="dxa"/>
            <w:vMerge w:val="restart"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268" w:type="dxa"/>
            <w:vMerge w:val="restart"/>
          </w:tcPr>
          <w:p w:rsidR="007A4E56" w:rsidRPr="00615820" w:rsidRDefault="00FA40DC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Плоскостные спортивные сооружения административного центра поселения (многофункциональная спортивная 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площадка) – для населения всего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557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 на 100 чел.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</w:tc>
        <w:tc>
          <w:tcPr>
            <w:tcW w:w="1558" w:type="dxa"/>
            <w:vMerge w:val="restart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558" w:type="dxa"/>
            <w:vMerge w:val="restart"/>
          </w:tcPr>
          <w:p w:rsidR="007A4E56" w:rsidRPr="00615820" w:rsidRDefault="00050C35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A40DC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7A4E56">
        <w:tc>
          <w:tcPr>
            <w:tcW w:w="846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7A4E56" w:rsidRPr="00615820" w:rsidRDefault="00FA40DC" w:rsidP="00FA40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пропускная  способность, чел</w:t>
            </w:r>
          </w:p>
        </w:tc>
        <w:tc>
          <w:tcPr>
            <w:tcW w:w="1558" w:type="dxa"/>
          </w:tcPr>
          <w:p w:rsidR="007A4E56" w:rsidRPr="00615820" w:rsidRDefault="00FA40DC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7A4E56" w:rsidRPr="00615820" w:rsidRDefault="007A4E56" w:rsidP="006F5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E56" w:rsidRPr="00615820" w:rsidRDefault="007A4E56" w:rsidP="006F5BE7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C6775" w:rsidRPr="00615820" w:rsidRDefault="00DC6775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Расчётные показатели минимально допустимого уровня обеспеченности объектами местного значения сельского поселения в иных областях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Перечень объектов и расчетные показатели для объектов местного значения в иных областях установлены в соответствии с решением вопросов местного значения сельского поселения в различных сферах. Расчетные показатели для объектов местного значения в иных областях (в области образования, здравоохранения, культуры, жилищного строительства, сельского хозяйства), представлены в п. 1.4.1. – 1.4.4. местных нормативов градостроительного проектирования.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Показатели и нормативные требования для объектов в области утилизации и переработки отходов, рекреации, объектов промышленного и коммунально-складского назначения, показатели в области предупреждения чрезвычайных ситуаций, в сфере инженерной подготовки и защиты территорий, учета потребносте</w:t>
      </w:r>
      <w:r w:rsidR="00DC6775" w:rsidRPr="00615820">
        <w:rPr>
          <w:rFonts w:ascii="Times New Roman" w:hAnsi="Times New Roman" w:cs="Times New Roman"/>
          <w:sz w:val="26"/>
          <w:szCs w:val="26"/>
        </w:rPr>
        <w:t>й маломобильных групп населения.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1.4.1 Расчётные показатели в области образования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для объектов местного значения в области образования представлены в таблице 1.4.1. </w:t>
      </w:r>
    </w:p>
    <w:p w:rsidR="00DC6775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351"/>
        <w:gridCol w:w="1632"/>
        <w:gridCol w:w="1199"/>
        <w:gridCol w:w="2569"/>
        <w:gridCol w:w="1382"/>
      </w:tblGrid>
      <w:tr w:rsidR="00615820" w:rsidRPr="00615820" w:rsidTr="000C4123">
        <w:tc>
          <w:tcPr>
            <w:tcW w:w="56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2" w:type="dxa"/>
            <w:vMerge w:val="restart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5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3116" w:type="dxa"/>
            <w:gridSpan w:val="2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DC6775">
        <w:tc>
          <w:tcPr>
            <w:tcW w:w="56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8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0C4123" w:rsidP="007B21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  <w:r w:rsidR="007B214D"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воспитанников на 1 объект, чел.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558" w:type="dxa"/>
          </w:tcPr>
          <w:p w:rsidR="00DC6775" w:rsidRPr="00615820" w:rsidRDefault="000C4123" w:rsidP="002A3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нспортнопешеходная доступность</w:t>
            </w:r>
            <w:r w:rsidR="00050C35" w:rsidRPr="00615820">
              <w:rPr>
                <w:rFonts w:ascii="Times New Roman" w:hAnsi="Times New Roman" w:cs="Times New Roman"/>
                <w:sz w:val="26"/>
                <w:szCs w:val="26"/>
              </w:rPr>
              <w:t>, мин.</w:t>
            </w:r>
          </w:p>
        </w:tc>
        <w:tc>
          <w:tcPr>
            <w:tcW w:w="1558" w:type="dxa"/>
          </w:tcPr>
          <w:p w:rsidR="00DC6775" w:rsidRPr="00615820" w:rsidRDefault="00050C3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5820" w:rsidRPr="00615820" w:rsidTr="00DC6775">
        <w:tc>
          <w:tcPr>
            <w:tcW w:w="562" w:type="dxa"/>
          </w:tcPr>
          <w:p w:rsidR="00DC6775" w:rsidRPr="00615820" w:rsidRDefault="00DC6775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557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 воспитанников на 1 объект, чел.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8" w:type="dxa"/>
          </w:tcPr>
          <w:p w:rsidR="00DC6775" w:rsidRPr="00615820" w:rsidRDefault="007B214D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1558" w:type="dxa"/>
          </w:tcPr>
          <w:p w:rsidR="00DC6775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</w:p>
        </w:tc>
        <w:tc>
          <w:tcPr>
            <w:tcW w:w="1558" w:type="dxa"/>
          </w:tcPr>
          <w:p w:rsidR="00DC6775" w:rsidRPr="00615820" w:rsidRDefault="002A356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 (для начального образования не более 2000)</w:t>
            </w:r>
          </w:p>
        </w:tc>
      </w:tr>
    </w:tbl>
    <w:p w:rsidR="00DC6775" w:rsidRPr="00615820" w:rsidRDefault="00DC6775" w:rsidP="000C4B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</w:t>
      </w:r>
      <w:r w:rsidR="00755900" w:rsidRPr="00615820">
        <w:rPr>
          <w:rFonts w:ascii="Times New Roman" w:hAnsi="Times New Roman" w:cs="Times New Roman"/>
          <w:sz w:val="26"/>
          <w:szCs w:val="26"/>
        </w:rPr>
        <w:t>Объекты возможно формировать на базе или при объектах общего образова</w:t>
      </w:r>
      <w:r w:rsidR="00050C35" w:rsidRPr="00615820">
        <w:rPr>
          <w:rFonts w:ascii="Times New Roman" w:hAnsi="Times New Roman" w:cs="Times New Roman"/>
          <w:sz w:val="26"/>
          <w:szCs w:val="26"/>
        </w:rPr>
        <w:t>ния.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Объекты формируются в административном центре поселения. </w:t>
      </w:r>
    </w:p>
    <w:p w:rsidR="00050C35" w:rsidRPr="00615820" w:rsidRDefault="00050C35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1.4.2 Расчётные показатели в области здравоохранения</w:t>
      </w:r>
    </w:p>
    <w:p w:rsidR="000C412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 Расчетные показатели определены в соответствии с Региональными нормативами градостроительного проектирования.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для объектов местного значения в области здравоохранения представлены в таблице 1.4.2. Таблица 1.4.2.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1879"/>
        <w:gridCol w:w="1705"/>
        <w:gridCol w:w="1325"/>
        <w:gridCol w:w="2870"/>
        <w:gridCol w:w="1325"/>
      </w:tblGrid>
      <w:tr w:rsidR="00615820" w:rsidRPr="00615820" w:rsidTr="00100FF6">
        <w:tc>
          <w:tcPr>
            <w:tcW w:w="467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9" w:type="dxa"/>
            <w:vMerge w:val="restart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030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195" w:type="dxa"/>
            <w:gridSpan w:val="2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100FF6">
        <w:tc>
          <w:tcPr>
            <w:tcW w:w="467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9" w:type="dxa"/>
            <w:vMerge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100FF6">
        <w:tc>
          <w:tcPr>
            <w:tcW w:w="467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79" w:type="dxa"/>
          </w:tcPr>
          <w:p w:rsidR="00100FF6" w:rsidRPr="00615820" w:rsidRDefault="00100FF6" w:rsidP="00100FF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>Амбулатории, в т.ч. врачебные, или центры (отделения) общей врачебной практики (семейной медицины)</w:t>
            </w:r>
          </w:p>
        </w:tc>
        <w:tc>
          <w:tcPr>
            <w:tcW w:w="170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</w:rPr>
              <w:t>Численность обслуживаемого населения, тыс. чел. на 1 объект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Транспортная, мин.</w:t>
            </w:r>
          </w:p>
        </w:tc>
        <w:tc>
          <w:tcPr>
            <w:tcW w:w="1325" w:type="dxa"/>
          </w:tcPr>
          <w:p w:rsidR="00100FF6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615820" w:rsidRPr="00615820" w:rsidTr="00100FF6">
        <w:tc>
          <w:tcPr>
            <w:tcW w:w="467" w:type="dxa"/>
          </w:tcPr>
          <w:p w:rsidR="000C4123" w:rsidRPr="00615820" w:rsidRDefault="00100FF6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4123" w:rsidRPr="006158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79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170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Кол-во, объект на поселение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</w:p>
        </w:tc>
        <w:tc>
          <w:tcPr>
            <w:tcW w:w="1325" w:type="dxa"/>
          </w:tcPr>
          <w:p w:rsidR="000C4123" w:rsidRPr="00615820" w:rsidRDefault="000C4123" w:rsidP="000C41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</w:tbl>
    <w:p w:rsidR="005326AF" w:rsidRPr="00615820" w:rsidRDefault="005326AF" w:rsidP="002A356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4123" w:rsidRPr="00615820" w:rsidRDefault="000C412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1.4.3 </w:t>
      </w:r>
      <w:r w:rsidR="00755900" w:rsidRPr="00615820">
        <w:rPr>
          <w:rFonts w:ascii="Times New Roman" w:hAnsi="Times New Roman" w:cs="Times New Roman"/>
          <w:b/>
          <w:sz w:val="26"/>
          <w:szCs w:val="26"/>
        </w:rPr>
        <w:t xml:space="preserve">Расчетные показатели для объектов местного значения в области культуры </w:t>
      </w:r>
    </w:p>
    <w:p w:rsidR="00D077D4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Таблица 1.4.3.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1954"/>
        <w:gridCol w:w="1492"/>
        <w:gridCol w:w="1355"/>
        <w:gridCol w:w="2489"/>
        <w:gridCol w:w="1808"/>
      </w:tblGrid>
      <w:tr w:rsidR="00615820" w:rsidRPr="00615820" w:rsidTr="00067672">
        <w:trPr>
          <w:jc w:val="center"/>
        </w:trPr>
        <w:tc>
          <w:tcPr>
            <w:tcW w:w="473" w:type="dxa"/>
            <w:vMerge w:val="restart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54" w:type="dxa"/>
            <w:vMerge w:val="restart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847" w:type="dxa"/>
            <w:gridSpan w:val="2"/>
          </w:tcPr>
          <w:p w:rsidR="00D077D4" w:rsidRPr="00615820" w:rsidRDefault="00D077D4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Минимально допустимый уровень обеспеченности</w:t>
            </w:r>
          </w:p>
        </w:tc>
        <w:tc>
          <w:tcPr>
            <w:tcW w:w="4297" w:type="dxa"/>
            <w:gridSpan w:val="2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допустимый уровень территориальной доступности</w:t>
            </w:r>
          </w:p>
        </w:tc>
      </w:tr>
      <w:tr w:rsidR="00615820" w:rsidRPr="00615820" w:rsidTr="00067672">
        <w:trPr>
          <w:jc w:val="center"/>
        </w:trPr>
        <w:tc>
          <w:tcPr>
            <w:tcW w:w="473" w:type="dxa"/>
            <w:vMerge/>
          </w:tcPr>
          <w:p w:rsidR="00063AC3" w:rsidRPr="00615820" w:rsidRDefault="00063AC3" w:rsidP="00063A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4" w:type="dxa"/>
            <w:vMerge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2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355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  <w:tc>
          <w:tcPr>
            <w:tcW w:w="2489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808" w:type="dxa"/>
          </w:tcPr>
          <w:p w:rsidR="00063AC3" w:rsidRPr="00615820" w:rsidRDefault="00063AC3" w:rsidP="00063A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15820" w:rsidRPr="00615820" w:rsidTr="00067672">
        <w:trPr>
          <w:trHeight w:val="1805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54" w:type="dxa"/>
          </w:tcPr>
          <w:p w:rsidR="00D077D4" w:rsidRPr="00615820" w:rsidRDefault="003D79F4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Сельские дом культуры</w:t>
            </w:r>
          </w:p>
        </w:tc>
        <w:tc>
          <w:tcPr>
            <w:tcW w:w="1492" w:type="dxa"/>
          </w:tcPr>
          <w:p w:rsidR="00D077D4" w:rsidRPr="00615820" w:rsidRDefault="003D79F4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E03D5E">
            <w:pPr>
              <w:jc w:val="center"/>
              <w:rPr>
                <w:rFonts w:ascii="Times New Roman" w:hAnsi="Times New Roman" w:cs="Times New Roman"/>
              </w:rPr>
            </w:pPr>
            <w:r w:rsidRPr="00615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2A35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Транспортнопешеходная доступность, 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077D4" w:rsidRPr="00615820" w:rsidTr="00067672">
        <w:trPr>
          <w:trHeight w:val="2256"/>
          <w:jc w:val="center"/>
        </w:trPr>
        <w:tc>
          <w:tcPr>
            <w:tcW w:w="473" w:type="dxa"/>
          </w:tcPr>
          <w:p w:rsidR="00D077D4" w:rsidRPr="00615820" w:rsidRDefault="00D077D4" w:rsidP="00D077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954" w:type="dxa"/>
          </w:tcPr>
          <w:p w:rsidR="00D077D4" w:rsidRPr="00615820" w:rsidRDefault="00F749FE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Общедоступная библиотека</w:t>
            </w:r>
          </w:p>
        </w:tc>
        <w:tc>
          <w:tcPr>
            <w:tcW w:w="1492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на 1 поселение</w:t>
            </w:r>
          </w:p>
        </w:tc>
        <w:tc>
          <w:tcPr>
            <w:tcW w:w="1355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</w:tcPr>
          <w:p w:rsidR="00D077D4" w:rsidRPr="00615820" w:rsidRDefault="00063AC3" w:rsidP="00DC67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Транспортнопешеходная доступность, м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  <w:tc>
          <w:tcPr>
            <w:tcW w:w="1808" w:type="dxa"/>
          </w:tcPr>
          <w:p w:rsidR="00D077D4" w:rsidRPr="00615820" w:rsidRDefault="00F749FE" w:rsidP="00063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3563" w:rsidRPr="006158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077D4" w:rsidRPr="00615820" w:rsidRDefault="00D077D4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D5E" w:rsidRPr="00615820" w:rsidRDefault="00E03D5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</w:rPr>
      </w:pP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Примечание:</w:t>
      </w:r>
    </w:p>
    <w:p w:rsidR="003D79F4" w:rsidRPr="00615820" w:rsidRDefault="003D79F4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>1.Допускается размещение отдельно стоящих, встроенных или пристроенных объектов культуры и искусства в составе жилых зон и отдельно стоящих объектов культуры и искусства в составе общественно-деловых и рекреационных зон.</w:t>
      </w:r>
    </w:p>
    <w:p w:rsidR="003D79F4" w:rsidRPr="00615820" w:rsidRDefault="00F749FE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lastRenderedPageBreak/>
        <w:t>2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. В целях обеспечения доступности 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3D79F4" w:rsidRPr="00615820" w:rsidRDefault="00F733D8" w:rsidP="00E03D5E">
      <w:pPr>
        <w:pStyle w:val="ConsPlusNormal"/>
        <w:ind w:firstLine="540"/>
        <w:jc w:val="both"/>
        <w:rPr>
          <w:rFonts w:ascii="Times New Roman" w:eastAsia="GungsuhChe" w:hAnsi="Times New Roman" w:cs="Times New Roman"/>
          <w:sz w:val="26"/>
          <w:szCs w:val="26"/>
        </w:rPr>
      </w:pPr>
      <w:r w:rsidRPr="00615820">
        <w:rPr>
          <w:rFonts w:ascii="Times New Roman" w:eastAsia="GungsuhChe" w:hAnsi="Times New Roman" w:cs="Times New Roman"/>
          <w:sz w:val="26"/>
          <w:szCs w:val="26"/>
        </w:rPr>
        <w:t xml:space="preserve">5. На базе общедоступных </w:t>
      </w:r>
      <w:r w:rsidR="003D79F4" w:rsidRPr="00615820">
        <w:rPr>
          <w:rFonts w:ascii="Times New Roman" w:eastAsia="GungsuhChe" w:hAnsi="Times New Roman" w:cs="Times New Roman"/>
          <w:sz w:val="26"/>
          <w:szCs w:val="26"/>
        </w:rPr>
        <w:t>библиотек необходимо организовывать точку доступа к полнотекстовым информационным ресурсам. Для организации точки доступа к полнотекстовым информационным ресурсам в библиотеке оборудуется место с выходом в информационно-телекоммуникационную сеть Интернет и предоставлением доступа к оцифрованным полнотекстовым информационным ресурсам в соответствии с законодательством Российско</w:t>
      </w:r>
      <w:r w:rsidR="00E03D5E" w:rsidRPr="00615820">
        <w:rPr>
          <w:rFonts w:ascii="Times New Roman" w:eastAsia="GungsuhChe" w:hAnsi="Times New Roman" w:cs="Times New Roman"/>
          <w:sz w:val="26"/>
          <w:szCs w:val="26"/>
        </w:rPr>
        <w:t>й Федерации о библиотечном деле</w:t>
      </w:r>
    </w:p>
    <w:p w:rsidR="002A3563" w:rsidRPr="00615820" w:rsidRDefault="002A3563" w:rsidP="00E03D5E">
      <w:pPr>
        <w:spacing w:after="0"/>
        <w:jc w:val="both"/>
        <w:rPr>
          <w:rFonts w:ascii="Times New Roman" w:eastAsia="GungsuhChe" w:hAnsi="Times New Roman" w:cs="Times New Roman"/>
          <w:sz w:val="26"/>
          <w:szCs w:val="26"/>
        </w:rPr>
      </w:pPr>
    </w:p>
    <w:p w:rsidR="00F1570D" w:rsidRPr="00615820" w:rsidRDefault="00755900" w:rsidP="00E03D5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1.4.4 Расчётные показатели в области жилищного строительства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Площадь предоставляемых земельных участков под индивидуальное жилищное строительство: минимальная площадь </w:t>
      </w:r>
      <w:r w:rsidR="002A3563" w:rsidRPr="00615820">
        <w:rPr>
          <w:rFonts w:ascii="Times New Roman" w:hAnsi="Times New Roman" w:cs="Times New Roman"/>
          <w:sz w:val="26"/>
          <w:szCs w:val="26"/>
        </w:rPr>
        <w:t>5</w:t>
      </w:r>
      <w:r w:rsidRPr="00615820">
        <w:rPr>
          <w:rFonts w:ascii="Times New Roman" w:hAnsi="Times New Roman" w:cs="Times New Roman"/>
          <w:sz w:val="26"/>
          <w:szCs w:val="26"/>
        </w:rPr>
        <w:t>00</w:t>
      </w:r>
      <w:r w:rsidR="002A356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м</w:t>
      </w:r>
      <w:r w:rsidR="00F1570D" w:rsidRPr="00615820">
        <w:rPr>
          <w:rFonts w:ascii="Times New Roman" w:hAnsi="Times New Roman" w:cs="Times New Roman"/>
          <w:sz w:val="26"/>
          <w:szCs w:val="26"/>
        </w:rPr>
        <w:t>2 , максимальная площадь 1500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="00F1570D" w:rsidRPr="00615820">
        <w:rPr>
          <w:rFonts w:ascii="Times New Roman" w:hAnsi="Times New Roman" w:cs="Times New Roman"/>
          <w:sz w:val="26"/>
          <w:szCs w:val="26"/>
        </w:rPr>
        <w:t>м2</w:t>
      </w:r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правил, нормами освещенности, приведенными в СП 52.13330.2011, а также в соответствии с противопожарными требованиями.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районах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Расстояние от границы участка должно быть не менее, м: до стены жилого дома - 3; до хозяйственных построек - 1. При отсутствии централизованной канализации расстояние от туалета до стен соседнего дома необходимо принимать не менее 1</w:t>
      </w:r>
      <w:r w:rsidR="0003428F" w:rsidRPr="00615820">
        <w:rPr>
          <w:rFonts w:ascii="Times New Roman" w:hAnsi="Times New Roman" w:cs="Times New Roman"/>
          <w:sz w:val="26"/>
          <w:szCs w:val="26"/>
        </w:rPr>
        <w:t>0</w:t>
      </w:r>
      <w:r w:rsidRPr="00615820">
        <w:rPr>
          <w:rFonts w:ascii="Times New Roman" w:hAnsi="Times New Roman" w:cs="Times New Roman"/>
          <w:sz w:val="26"/>
          <w:szCs w:val="26"/>
        </w:rPr>
        <w:t xml:space="preserve"> м, до источника водоснабжения (колодца) - не менее 25 м. </w:t>
      </w:r>
    </w:p>
    <w:p w:rsidR="00F1570D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 и градостроительных регламентах, устанавливаемых в Правилах землепользования и застройки. </w:t>
      </w:r>
    </w:p>
    <w:p w:rsidR="00374999" w:rsidRDefault="00374999" w:rsidP="00374999">
      <w:pPr>
        <w:pStyle w:val="ConsPlusNormal"/>
        <w:ind w:firstLine="708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374999">
        <w:rPr>
          <w:rFonts w:ascii="Times New Roman" w:hAnsi="Times New Roman" w:cs="Times New Roman"/>
          <w:b/>
          <w:sz w:val="26"/>
          <w:szCs w:val="26"/>
        </w:rPr>
        <w:t>1.4.5. Расчетные показатели муниципальных мест погребения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850"/>
        <w:gridCol w:w="1418"/>
        <w:gridCol w:w="850"/>
        <w:gridCol w:w="851"/>
        <w:gridCol w:w="1843"/>
        <w:gridCol w:w="992"/>
        <w:gridCol w:w="1984"/>
      </w:tblGrid>
      <w:tr w:rsidR="00374999" w:rsidRPr="005F3E9D" w:rsidTr="00374999">
        <w:tc>
          <w:tcPr>
            <w:tcW w:w="9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объектов</w:t>
            </w:r>
          </w:p>
        </w:tc>
        <w:tc>
          <w:tcPr>
            <w:tcW w:w="850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Нормируемые показатели, ед. изм.</w:t>
            </w:r>
          </w:p>
        </w:tc>
        <w:tc>
          <w:tcPr>
            <w:tcW w:w="1418" w:type="dxa"/>
            <w:vMerge w:val="restart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Наименование нормируемых территорий</w:t>
            </w:r>
          </w:p>
        </w:tc>
        <w:tc>
          <w:tcPr>
            <w:tcW w:w="6520" w:type="dxa"/>
            <w:gridSpan w:val="5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Расчетные показатели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минимально допустимого уровня обеспеченности</w:t>
            </w:r>
          </w:p>
        </w:tc>
        <w:tc>
          <w:tcPr>
            <w:tcW w:w="4819" w:type="dxa"/>
            <w:gridSpan w:val="3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максимально допустимого уровня территориальной доступности</w:t>
            </w:r>
          </w:p>
        </w:tc>
      </w:tr>
      <w:tr w:rsidR="00374999" w:rsidRPr="005F3E9D" w:rsidTr="00374999">
        <w:tc>
          <w:tcPr>
            <w:tcW w:w="9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4999" w:rsidRPr="00374999" w:rsidRDefault="00374999" w:rsidP="003749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гор. н.п.</w:t>
            </w:r>
          </w:p>
        </w:tc>
        <w:tc>
          <w:tcPr>
            <w:tcW w:w="851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сел. н.п.</w:t>
            </w:r>
          </w:p>
        </w:tc>
        <w:tc>
          <w:tcPr>
            <w:tcW w:w="1843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вид доступности, ед. изм.</w:t>
            </w:r>
          </w:p>
        </w:tc>
        <w:tc>
          <w:tcPr>
            <w:tcW w:w="992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гор. н.п.</w:t>
            </w:r>
          </w:p>
        </w:tc>
        <w:tc>
          <w:tcPr>
            <w:tcW w:w="1984" w:type="dxa"/>
          </w:tcPr>
          <w:p w:rsidR="00374999" w:rsidRPr="00374999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74999">
              <w:rPr>
                <w:rFonts w:ascii="Times New Roman" w:hAnsi="Times New Roman" w:cs="Times New Roman"/>
                <w:b/>
              </w:rPr>
              <w:t>сел. н.п.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Кладбище традиционного захорон</w:t>
            </w:r>
            <w:r w:rsidRPr="005F3E9D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>Площадь объекта на кажду</w:t>
            </w:r>
            <w:r w:rsidRPr="005F3E9D">
              <w:rPr>
                <w:rFonts w:ascii="Times New Roman" w:hAnsi="Times New Roman" w:cs="Times New Roman"/>
              </w:rPr>
              <w:lastRenderedPageBreak/>
              <w:t>ю 1,0 тыс. жит.,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 xml:space="preserve">Все населенные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4819" w:type="dxa"/>
            <w:gridSpan w:val="3"/>
            <w:vMerge w:val="restart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Не нормируется</w:t>
            </w:r>
          </w:p>
        </w:tc>
      </w:tr>
      <w:tr w:rsidR="00374999" w:rsidRPr="005F3E9D" w:rsidTr="00374999">
        <w:tc>
          <w:tcPr>
            <w:tcW w:w="918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lastRenderedPageBreak/>
              <w:t>Кладбище урновых захоронений после кремации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Площадь объекта на каждую 1,0 тыс. жит., га</w:t>
            </w:r>
          </w:p>
        </w:tc>
        <w:tc>
          <w:tcPr>
            <w:tcW w:w="1418" w:type="dxa"/>
          </w:tcPr>
          <w:p w:rsidR="00374999" w:rsidRPr="005F3E9D" w:rsidRDefault="00374999" w:rsidP="003B70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 xml:space="preserve">Все населенные пункты </w:t>
            </w:r>
          </w:p>
        </w:tc>
        <w:tc>
          <w:tcPr>
            <w:tcW w:w="850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374999" w:rsidRPr="005F3E9D" w:rsidRDefault="00374999" w:rsidP="003749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E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  <w:gridSpan w:val="3"/>
            <w:vMerge/>
          </w:tcPr>
          <w:p w:rsidR="00374999" w:rsidRPr="005F3E9D" w:rsidRDefault="00374999" w:rsidP="00374999">
            <w:pPr>
              <w:rPr>
                <w:rFonts w:ascii="Times New Roman" w:hAnsi="Times New Roman" w:cs="Times New Roman"/>
              </w:rPr>
            </w:pPr>
          </w:p>
        </w:tc>
      </w:tr>
    </w:tbl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Примечание:</w:t>
      </w:r>
    </w:p>
    <w:p w:rsidR="003B7043" w:rsidRPr="003B7043" w:rsidRDefault="003B7043" w:rsidP="003B70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043">
        <w:rPr>
          <w:rFonts w:ascii="Times New Roman" w:hAnsi="Times New Roman" w:cs="Times New Roman"/>
          <w:sz w:val="26"/>
          <w:szCs w:val="26"/>
        </w:rPr>
        <w:t>При размещении кладбищ необходимо учитывать нормы действующего законодательства в части разрывов от селитебных территорий.</w:t>
      </w:r>
    </w:p>
    <w:p w:rsidR="00F733D8" w:rsidRPr="00615820" w:rsidRDefault="00F733D8" w:rsidP="0037499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 МАТЕРИАЛЫ ПО ОБОСНОВАНИЮ РАСЧЕТНЫХ ПОКАЗАТЕЛЕЙ, СОДЕРЖАЩИХСЯ В ОСНОВНОЙ ЧАСТИ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установлены в соответствии с действующими федеральными и </w:t>
      </w:r>
      <w:r w:rsidR="0003428F" w:rsidRPr="00615820">
        <w:rPr>
          <w:rFonts w:ascii="Times New Roman" w:hAnsi="Times New Roman" w:cs="Times New Roman"/>
          <w:sz w:val="26"/>
          <w:szCs w:val="26"/>
        </w:rPr>
        <w:t>областными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нормативно-правовыми актами в области регулирования вопросов градостроительной деятельности и полномочий, на основании параметров и условий социально-экономического развития </w:t>
      </w:r>
      <w:r w:rsidR="0003428F" w:rsidRPr="00615820">
        <w:rPr>
          <w:rFonts w:ascii="Times New Roman" w:hAnsi="Times New Roman" w:cs="Times New Roman"/>
          <w:sz w:val="26"/>
          <w:szCs w:val="26"/>
        </w:rPr>
        <w:t xml:space="preserve">Тейковского </w:t>
      </w:r>
      <w:r w:rsidRPr="00615820">
        <w:rPr>
          <w:rFonts w:ascii="Times New Roman" w:hAnsi="Times New Roman" w:cs="Times New Roman"/>
          <w:sz w:val="26"/>
          <w:szCs w:val="26"/>
        </w:rPr>
        <w:t xml:space="preserve">муниципального района и </w:t>
      </w:r>
      <w:r w:rsidR="0003428F" w:rsidRPr="00615820">
        <w:rPr>
          <w:rFonts w:ascii="Times New Roman" w:hAnsi="Times New Roman" w:cs="Times New Roman"/>
          <w:sz w:val="26"/>
          <w:szCs w:val="26"/>
        </w:rPr>
        <w:t>сельского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03428F" w:rsidRPr="00615820">
        <w:rPr>
          <w:rFonts w:ascii="Times New Roman" w:hAnsi="Times New Roman" w:cs="Times New Roman"/>
          <w:sz w:val="26"/>
          <w:szCs w:val="26"/>
        </w:rPr>
        <w:t>я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региона, социальных, демографических, природно-экологических и иных условий развития территории поселения, условий осуществления градостроительной деятельности на территории </w:t>
      </w:r>
      <w:r w:rsidR="0003428F" w:rsidRPr="00615820">
        <w:rPr>
          <w:rFonts w:ascii="Times New Roman" w:hAnsi="Times New Roman" w:cs="Times New Roman"/>
          <w:sz w:val="26"/>
          <w:szCs w:val="26"/>
        </w:rPr>
        <w:t>Ивановской области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части формирования объектов местного значения сельского поселения. </w:t>
      </w:r>
    </w:p>
    <w:p w:rsidR="00F1570D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050C35" w:rsidRPr="00615820">
        <w:rPr>
          <w:rFonts w:ascii="Times New Roman" w:hAnsi="Times New Roman" w:cs="Times New Roman"/>
          <w:sz w:val="26"/>
          <w:szCs w:val="26"/>
        </w:rPr>
        <w:t>:</w:t>
      </w:r>
      <w:r w:rsidR="00F1570D" w:rsidRPr="00615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CC4" w:rsidRPr="00615820" w:rsidRDefault="00256445" w:rsidP="00050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2.1.1.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электропотреб</w:t>
      </w:r>
      <w:r w:rsidR="00050C35" w:rsidRPr="00615820">
        <w:rPr>
          <w:rFonts w:ascii="Times New Roman" w:hAnsi="Times New Roman" w:cs="Times New Roman"/>
          <w:b/>
          <w:sz w:val="26"/>
          <w:szCs w:val="26"/>
        </w:rPr>
        <w:t>ления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8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9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10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утвержденного </w:t>
      </w:r>
      <w:hyperlink r:id="rId11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602/пр (СП 256.1325800.2016, СП 31-110-2003) (далее - СП 31-110-2003);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4) </w:t>
      </w:r>
      <w:hyperlink r:id="rId12" w:history="1">
        <w:r w:rsidRPr="00615820">
          <w:rPr>
            <w:rFonts w:ascii="Times New Roman" w:hAnsi="Times New Roman" w:cs="Times New Roman"/>
            <w:sz w:val="26"/>
            <w:szCs w:val="26"/>
          </w:rPr>
          <w:t>НТП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ЭПП-94 Проектирование электроснабжения промышленных предприятий. Нормы технологического проектирования;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5) Утратил силу. - </w:t>
      </w:r>
      <w:hyperlink r:id="rId13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6) Правил устройства электроустановок (ПУЭ 6-е и 7-е издание).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Расход электроэнергии и потребность в мощности источников следует определять: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- для производственных и сельскохозяйственных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- для жилищно-коммунального сектора - в соответствии с РД 34.20.185-94 (с учетом изменений и дополнений к </w:t>
      </w:r>
      <w:hyperlink r:id="rId14" w:history="1">
        <w:r w:rsidRPr="00615820">
          <w:rPr>
            <w:rFonts w:ascii="Times New Roman" w:hAnsi="Times New Roman" w:cs="Times New Roman"/>
            <w:sz w:val="26"/>
            <w:szCs w:val="26"/>
          </w:rPr>
          <w:t>разделу 2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"Расчетные электрические нагрузки"), </w:t>
      </w:r>
      <w:hyperlink r:id="rId15" w:history="1">
        <w:r w:rsidRPr="00615820">
          <w:rPr>
            <w:rFonts w:ascii="Times New Roman" w:hAnsi="Times New Roman" w:cs="Times New Roman"/>
            <w:sz w:val="26"/>
            <w:szCs w:val="26"/>
          </w:rPr>
          <w:t>СП 31-110-2003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>, а также с учетом Нормативов.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Примечания: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2.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Нормы электропотребления и использования максимума электрической нагрузки следует применять в целях градостроительного проектирования в качестве укрупненных показателей электропотребления.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4. Расчет электрических нагрузок для разных типов застройки следует производить в соответствии с нормами </w:t>
      </w:r>
      <w:hyperlink r:id="rId16" w:history="1">
        <w:r w:rsidRPr="00615820">
          <w:rPr>
            <w:rFonts w:ascii="Times New Roman" w:hAnsi="Times New Roman" w:cs="Times New Roman"/>
            <w:sz w:val="26"/>
            <w:szCs w:val="26"/>
          </w:rPr>
          <w:t>РД 34.20.185-94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Расчетные показатели максимально допустимого уровня территориальной доступности объектами электроснабжения для населения Ивановской области.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электроснабжения не нормируется в связи с тем, что население непосредственно объектами электроснабжения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2.1.2.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теплоснабжения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17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Строительных </w:t>
      </w:r>
      <w:hyperlink r:id="rId18" w:history="1">
        <w:r w:rsidRPr="00615820">
          <w:rPr>
            <w:rFonts w:ascii="Times New Roman" w:hAnsi="Times New Roman" w:cs="Times New Roman"/>
            <w:sz w:val="26"/>
            <w:szCs w:val="26"/>
          </w:rPr>
          <w:t>норм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 "Тепловые сети", введенных в действие </w:t>
      </w:r>
      <w:hyperlink r:id="rId19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№ 110 (далее - СНиП 41-02-2003).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Основными потребителями тепловой энергии в Ивановской области являются жилищно-коммунальный сектор, включая объекты социальной сферы, и промышленные предприятия.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Тепловые нагрузки потребителей для существующих зданий жилищно-коммунального сектора и действующих промышленных предприятий согласно </w:t>
      </w:r>
      <w:hyperlink r:id="rId20" w:history="1">
        <w:r w:rsidRPr="00615820">
          <w:rPr>
            <w:rFonts w:ascii="Times New Roman" w:hAnsi="Times New Roman" w:cs="Times New Roman"/>
            <w:sz w:val="26"/>
            <w:szCs w:val="26"/>
          </w:rPr>
          <w:t>СНиП 41-02-2003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следует определять по проектам с уточнением по фактическим тепловым нагрузкам.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При расчете удельных часовых расходов тепловой энергии на отопление (ккал/час/м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>, ккал/час/м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615820">
        <w:rPr>
          <w:rFonts w:ascii="Times New Roman" w:hAnsi="Times New Roman" w:cs="Times New Roman"/>
          <w:sz w:val="26"/>
          <w:szCs w:val="26"/>
        </w:rPr>
        <w:t>) этих типов зданий полученная величина нормируемого удельного годового расхода тепловой энергии на отопление зданий базового уровня в кВт·ч/ (м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 год) снижается на 30% для построек с 2016 года и на 40% для построек с 2020 года согласно требованиям повышения энергетической эффективности зданий.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теплоснабжения не нормируется в связи с тем, что население непосредственно объектами теплоснабжения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2.1.3.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газоснабжения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 </w:t>
      </w:r>
      <w:hyperlink r:id="rId21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"СНиП 42-01-2002 "Газораспределительные системы", утвержденного </w:t>
      </w:r>
      <w:hyperlink r:id="rId22" w:history="1">
        <w:r w:rsidR="003C7CC4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№ 780 (СП 62.13330.2011).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Основная доля перспективных объемов потребляемого газа приходится на теплоэнергетические объекты.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Расход газа на источники тепла должен учитываться по расчету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подключенных к этому источнику тепла.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Максимально допустимый уровень территориальной доступности объектов газоснабжения не нормируется в связи с тем, что население непосредственно объектами газоснабжения не пользуется.</w:t>
      </w:r>
    </w:p>
    <w:p w:rsidR="003C7CC4" w:rsidRPr="00615820" w:rsidRDefault="00256445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2.1.4. </w:t>
      </w:r>
      <w:r w:rsidR="003C7CC4" w:rsidRPr="00615820">
        <w:rPr>
          <w:rFonts w:ascii="Times New Roman" w:hAnsi="Times New Roman" w:cs="Times New Roman"/>
          <w:b/>
          <w:sz w:val="26"/>
          <w:szCs w:val="26"/>
        </w:rPr>
        <w:t>Нормируемые показатели для объектов водоснабжения и водоотведения</w:t>
      </w:r>
      <w:r w:rsidR="003C7CC4" w:rsidRPr="00615820">
        <w:rPr>
          <w:rFonts w:ascii="Times New Roman" w:hAnsi="Times New Roman" w:cs="Times New Roman"/>
          <w:sz w:val="26"/>
          <w:szCs w:val="26"/>
        </w:rPr>
        <w:t xml:space="preserve"> подготовлены на основании: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23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</w:t>
      </w:r>
      <w:hyperlink r:id="rId24" w:history="1">
        <w:r w:rsidRPr="00615820">
          <w:rPr>
            <w:rFonts w:ascii="Times New Roman" w:hAnsi="Times New Roman" w:cs="Times New Roman"/>
            <w:sz w:val="26"/>
            <w:szCs w:val="26"/>
          </w:rPr>
          <w:t>Свода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принятого </w:t>
      </w:r>
      <w:hyperlink r:id="rId25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Предельные значения расчетных показателей минимально допустимого уровня обеспеченности объектов водоснабжения приведены в расчете удельного хозяйственно-питьевого водопотребления в населенном пункте на одного человека (среднесуточное) (за год).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Удельное водопотребление включает расходы воды на хозяйственно-питьевые и бытовые нужды в общественных зданиях (по классификации, принятой в </w:t>
      </w:r>
      <w:hyperlink r:id="rId26" w:history="1">
        <w:r w:rsidRPr="00615820">
          <w:rPr>
            <w:rFonts w:ascii="Times New Roman" w:hAnsi="Times New Roman" w:cs="Times New Roman"/>
            <w:sz w:val="26"/>
            <w:szCs w:val="26"/>
          </w:rPr>
          <w:t>Своде правил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утвержденном </w:t>
      </w:r>
      <w:hyperlink r:id="rId27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</w:t>
      </w:r>
      <w:hyperlink r:id="rId28" w:history="1">
        <w:r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утвержденному </w:t>
      </w:r>
      <w:hyperlink r:id="rId29" w:history="1">
        <w:r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951/пр, и технологическим данным.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10 - 20% от суммарного расхода воды на хозяйственно-питьевые нужды населенного пункта.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Удельный расход воды на поливку городских зеленых насаждений принимается равным 50 л/сут. на 1 жителя.</w:t>
      </w:r>
    </w:p>
    <w:p w:rsidR="003C7CC4" w:rsidRPr="00615820" w:rsidRDefault="003C7CC4" w:rsidP="003C7C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Расход воды на наружное водоснабжение определяется расчетом по СП 8.13130.2009 "Системы противопожарной защиты. Источники наружного противопожарного водоснабжения. Требования пожарной безопасности" </w:t>
      </w:r>
      <w:hyperlink r:id="rId30" w:history="1">
        <w:r w:rsidRPr="00615820">
          <w:rPr>
            <w:rFonts w:ascii="Times New Roman" w:hAnsi="Times New Roman" w:cs="Times New Roman"/>
            <w:sz w:val="26"/>
            <w:szCs w:val="26"/>
          </w:rPr>
          <w:t>(таблица 1)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D2623E" w:rsidRPr="00615820" w:rsidRDefault="003C7CC4" w:rsidP="00A0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lastRenderedPageBreak/>
        <w:t>Максимально допустимый уровень территориальной доступности объектов водоснабжения и водоотведения не нормируется в связи с тем, что население непосредственно объектами водоснабжения и водоотведения не пользуется.</w:t>
      </w:r>
    </w:p>
    <w:p w:rsidR="00D2623E" w:rsidRPr="00615820" w:rsidRDefault="00D2623E" w:rsidP="0025644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256445"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Автомобильные дороги местного значения</w:t>
      </w:r>
    </w:p>
    <w:p w:rsidR="00256445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автодорог и транспортного обслуживания определяются в соответствии с Федеральным </w:t>
      </w:r>
      <w:hyperlink r:id="rId31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D2623E" w:rsidRPr="00615820" w:rsidRDefault="00D2623E" w:rsidP="00256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В части автодорог местного значения нормируется плотность магистральной улично-дорожной сети в населенных пунктах городского типа. Минимальный расчетный показатель такой плотности равен 2 км/км</w:t>
      </w:r>
      <w:r w:rsidRPr="0061582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15820">
        <w:rPr>
          <w:rFonts w:ascii="Times New Roman" w:hAnsi="Times New Roman" w:cs="Times New Roman"/>
          <w:sz w:val="26"/>
          <w:szCs w:val="26"/>
        </w:rPr>
        <w:t xml:space="preserve">, что обусловлено радиусом доступности остановок общественного транспорта. Данный показатель приведен в </w:t>
      </w:r>
      <w:hyperlink r:id="rId32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Рекомендациях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дорог, городов и сельских поселений, разработанных ЦНИИП градостроительства Минстроя России в 1994 году. С учетом положений </w:t>
      </w:r>
      <w:hyperlink r:id="rId33" w:history="1">
        <w:r w:rsidRPr="00615820">
          <w:rPr>
            <w:rFonts w:ascii="Times New Roman" w:hAnsi="Times New Roman" w:cs="Times New Roman"/>
            <w:sz w:val="26"/>
            <w:szCs w:val="26"/>
          </w:rPr>
          <w:t>пункта 11.24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 в районах индивидуальной усадебной застройки дальность пешеходных подходов к ближайшей остановке общественного транспорта может быть до 800 м.</w:t>
      </w:r>
    </w:p>
    <w:p w:rsidR="00A06EB0" w:rsidRPr="00615820" w:rsidRDefault="00815084" w:rsidP="00A06EB0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A06EB0" w:rsidRPr="00615820">
        <w:rPr>
          <w:rFonts w:ascii="Times New Roman" w:hAnsi="Times New Roman" w:cs="Times New Roman"/>
          <w:b/>
          <w:sz w:val="26"/>
          <w:szCs w:val="26"/>
        </w:rPr>
        <w:t>3. Объекты массового спорта</w:t>
      </w:r>
    </w:p>
    <w:p w:rsidR="00815084" w:rsidRPr="00615820" w:rsidRDefault="00A06EB0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физкультуры и спорта определяются в соответствии с Федеральным </w:t>
      </w:r>
      <w:hyperlink r:id="rId34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Для определения расчетных показателей объектов спорта использовались </w:t>
      </w:r>
      <w:hyperlink r:id="rId35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36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Рекомендациями-586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потребность в объектах спорта определяется исходя из уровня обеспеченности, который к 2030 году, по предварительным оценкам, достигнет 100%, а также гарантированного объема оказываемых гражданам государственных услуг в сфере физической культуры и спорта.</w:t>
      </w:r>
    </w:p>
    <w:p w:rsidR="00A06EB0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</w:t>
      </w:r>
      <w:r w:rsidR="00A06EB0" w:rsidRPr="00615820">
        <w:rPr>
          <w:rFonts w:ascii="Times New Roman" w:hAnsi="Times New Roman" w:cs="Times New Roman"/>
          <w:sz w:val="26"/>
          <w:szCs w:val="26"/>
        </w:rPr>
        <w:t>В основу определения потребности населения в объектах физкультуры и спорта положен нормируемый показатель - единовременная пропускная способность объектов физкультуры и спорта (ЕПС</w:t>
      </w:r>
      <w:r w:rsidR="00A06EB0" w:rsidRPr="00615820">
        <w:rPr>
          <w:rFonts w:ascii="Times New Roman" w:hAnsi="Times New Roman" w:cs="Times New Roman"/>
          <w:sz w:val="26"/>
          <w:szCs w:val="26"/>
          <w:vertAlign w:val="subscript"/>
        </w:rPr>
        <w:t>норм</w:t>
      </w:r>
      <w:r w:rsidR="00A06EB0" w:rsidRPr="00615820">
        <w:rPr>
          <w:rFonts w:ascii="Times New Roman" w:hAnsi="Times New Roman" w:cs="Times New Roman"/>
          <w:sz w:val="26"/>
          <w:szCs w:val="26"/>
        </w:rPr>
        <w:t xml:space="preserve">), которая в </w:t>
      </w:r>
      <w:hyperlink r:id="rId37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 xml:space="preserve"> обоснована в размере 12,2% от населения нормируемой территории, или 122 чел. на 1000 жит. Методика расчета единовременной пропускной способности приведена в </w:t>
      </w:r>
      <w:hyperlink r:id="rId38" w:history="1">
        <w:r w:rsidR="00A06EB0" w:rsidRPr="00615820">
          <w:rPr>
            <w:rFonts w:ascii="Times New Roman" w:hAnsi="Times New Roman" w:cs="Times New Roman"/>
            <w:sz w:val="26"/>
            <w:szCs w:val="26"/>
          </w:rPr>
          <w:t>Рекомендациях-586</w:t>
        </w:r>
      </w:hyperlink>
      <w:r w:rsidR="00A06EB0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 Муниципальные 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муниципальных образований Ивановской области в части образования определяются в соответствии с Федеральным </w:t>
      </w:r>
      <w:hyperlink r:id="rId39" w:history="1">
        <w:r w:rsidRPr="006158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Федерации".Для обоснования расчетных параметров использовались </w:t>
      </w:r>
      <w:hyperlink r:id="rId40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815084" w:rsidRPr="00615820" w:rsidRDefault="00815084" w:rsidP="00815084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2.4.1.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Общеобразовательные организации</w:t>
      </w:r>
    </w:p>
    <w:p w:rsidR="00815084" w:rsidRPr="00615820" w:rsidRDefault="00815084" w:rsidP="0081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В соответствии с </w:t>
      </w:r>
      <w:hyperlink r:id="rId41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 устанавливается норма размещения не менее одной дневной общеобразовательной школы в сельской местности - на 201 человека. Территориальная доступность определяется </w:t>
      </w:r>
      <w:hyperlink r:id="rId42" w:history="1">
        <w:r w:rsidRPr="00615820">
          <w:rPr>
            <w:rFonts w:ascii="Times New Roman" w:hAnsi="Times New Roman" w:cs="Times New Roman"/>
            <w:sz w:val="26"/>
            <w:szCs w:val="26"/>
          </w:rPr>
          <w:t>пунктами 2.4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3" w:history="1">
        <w:r w:rsidRPr="00615820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санитарно-эпидемиологических правил и нормативов СанПиН 2.4.2.2821-10 "Санитарно-эпидемиологические требования к условиям и организации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обучения в общеобразовательных учреждениях", утвержденных постановлением Главного государственного санитарного врача Российской Федерации от 29.12.2010 N 189.</w:t>
      </w:r>
    </w:p>
    <w:p w:rsidR="00815084" w:rsidRPr="00615820" w:rsidRDefault="00815084" w:rsidP="007B214D">
      <w:pPr>
        <w:pStyle w:val="ConsPlusNormal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2.4.2.</w:t>
      </w: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>Дошкольные образовательные организации</w:t>
      </w:r>
    </w:p>
    <w:p w:rsidR="00815084" w:rsidRPr="00615820" w:rsidRDefault="00815084" w:rsidP="0081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4" w:history="1">
        <w:r w:rsidRPr="00615820">
          <w:rPr>
            <w:rFonts w:ascii="Times New Roman" w:hAnsi="Times New Roman" w:cs="Times New Roman"/>
            <w:sz w:val="26"/>
            <w:szCs w:val="26"/>
          </w:rPr>
          <w:t>пунктом 1.2.1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Рекомендаций, устанавливается норма размещения не менее одной дошкольной образовательной организации в сельской местности - на 62 воспитанника. Территориальная доступность определяется в соответствии с </w:t>
      </w:r>
      <w:hyperlink r:id="rId45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10.1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СП 42.13330.2016.</w:t>
      </w:r>
    </w:p>
    <w:p w:rsidR="007B214D" w:rsidRPr="00615820" w:rsidRDefault="008F16B3" w:rsidP="007B214D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615820">
        <w:rPr>
          <w:rFonts w:ascii="Times New Roman" w:hAnsi="Times New Roman" w:cs="Times New Roman"/>
          <w:b/>
          <w:sz w:val="26"/>
          <w:szCs w:val="26"/>
        </w:rPr>
        <w:t>3.</w:t>
      </w:r>
      <w:r w:rsidR="007B214D" w:rsidRPr="00615820">
        <w:rPr>
          <w:rFonts w:ascii="Times New Roman" w:hAnsi="Times New Roman" w:cs="Times New Roman"/>
          <w:b/>
          <w:sz w:val="26"/>
          <w:szCs w:val="26"/>
        </w:rPr>
        <w:t>Объекты здравоохранения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Для определения расчетных показателей объектов здравоохранения использовались следующие правовые акты и прочие документы федеральных, областны</w:t>
      </w:r>
      <w:r w:rsidR="005449A5" w:rsidRPr="00615820">
        <w:rPr>
          <w:rFonts w:ascii="Times New Roman" w:hAnsi="Times New Roman" w:cs="Times New Roman"/>
          <w:sz w:val="26"/>
          <w:szCs w:val="26"/>
        </w:rPr>
        <w:t>х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органов исполнительной власти: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46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47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08.06.2016 N 358 "Об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здравоохранения" (далее - Рекомендации-358);</w:t>
      </w:r>
    </w:p>
    <w:p w:rsidR="007B214D" w:rsidRPr="00615820" w:rsidRDefault="007B214D" w:rsidP="007B214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48" w:history="1">
        <w:r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утвержденные приказом Министерства здравоохранения Российской Федерации от 27.02.2016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(далее - Требования-132н).</w:t>
      </w:r>
    </w:p>
    <w:p w:rsidR="005449A5" w:rsidRPr="00615820" w:rsidRDefault="008F16B3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2.4.4</w:t>
      </w:r>
      <w:r w:rsidR="005449A5" w:rsidRPr="00615820">
        <w:rPr>
          <w:rFonts w:ascii="Times New Roman" w:hAnsi="Times New Roman" w:cs="Times New Roman"/>
          <w:b/>
          <w:sz w:val="26"/>
          <w:szCs w:val="26"/>
        </w:rPr>
        <w:t xml:space="preserve">. Объекты культуры </w:t>
      </w:r>
    </w:p>
    <w:p w:rsidR="005449A5" w:rsidRPr="00615820" w:rsidRDefault="005449A5" w:rsidP="005449A5">
      <w:pPr>
        <w:pStyle w:val="ConsPlusNormal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Применяемы к отношениям в области культуры положения Федерального </w:t>
      </w:r>
      <w:hyperlink r:id="rId49" w:history="1">
        <w:r w:rsidRPr="00615820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деле".</w:t>
      </w:r>
      <w:r w:rsidRPr="00615820">
        <w:rPr>
          <w:rFonts w:ascii="Times New Roman" w:hAnsi="Times New Roman" w:cs="Times New Roman"/>
        </w:rPr>
        <w:t xml:space="preserve"> 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Для определения расчетных показателей объектов культуры использовались следующие правовые акты федеральных органов исполнительной власти: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1) Социальные </w:t>
      </w:r>
      <w:hyperlink r:id="rId50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>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2) Методические </w:t>
      </w:r>
      <w:hyperlink r:id="rId5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введенные в действие распоряжением Министерства культуры Российской Федерации от 02.08.2017 N Р-965 (далее - Рекомендации-965);</w:t>
      </w:r>
    </w:p>
    <w:p w:rsidR="005449A5" w:rsidRPr="00615820" w:rsidRDefault="005449A5" w:rsidP="005449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3) </w:t>
      </w:r>
      <w:hyperlink r:id="rId52" w:history="1">
        <w:r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Pr="00615820">
        <w:rPr>
          <w:rFonts w:ascii="Times New Roman" w:hAnsi="Times New Roman" w:cs="Times New Roman"/>
          <w:sz w:val="26"/>
          <w:szCs w:val="26"/>
        </w:rPr>
        <w:t>.</w:t>
      </w:r>
    </w:p>
    <w:p w:rsidR="005449A5" w:rsidRPr="00615820" w:rsidRDefault="005449A5" w:rsidP="008F16B3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Библиотеки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части библиотек Социальными </w:t>
      </w:r>
      <w:hyperlink r:id="rId53" w:history="1">
        <w:r w:rsidRPr="00615820">
          <w:rPr>
            <w:rFonts w:ascii="Times New Roman" w:hAnsi="Times New Roman" w:cs="Times New Roman"/>
            <w:sz w:val="26"/>
            <w:szCs w:val="26"/>
          </w:rPr>
          <w:t>нормативами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4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Рекомендациями-965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нормируются количество объектов 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на поселение. </w:t>
      </w:r>
      <w:r w:rsidRPr="00615820">
        <w:rPr>
          <w:rFonts w:ascii="Times New Roman" w:hAnsi="Times New Roman" w:cs="Times New Roman"/>
          <w:sz w:val="26"/>
          <w:szCs w:val="26"/>
        </w:rPr>
        <w:t xml:space="preserve">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 В целях обеспечения доступности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библиотечных услуг для инвалидов по зрению следует предусматривать зоны обслуживания в учреждениях и на предприятиях, где учатся и работают инвалиды по зрению, лечебных и реабилитационных учреждениях.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Пользователям библиотек, независимо от места проживания, должен быть обеспечен доступ к культурным ценностям на основе цифровых коммуникационных технологий, для чего рекомендуется на базе библиотек поселения организовать точку доступа к полнотекстовым информационным ресурсам.</w:t>
      </w:r>
    </w:p>
    <w:p w:rsidR="005449A5" w:rsidRPr="00615820" w:rsidRDefault="008F16B3" w:rsidP="008F16B3">
      <w:pPr>
        <w:pStyle w:val="ConsPlusNormal"/>
        <w:outlineLvl w:val="4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449A5" w:rsidRPr="00615820">
        <w:rPr>
          <w:rFonts w:ascii="Times New Roman" w:hAnsi="Times New Roman" w:cs="Times New Roman"/>
          <w:sz w:val="26"/>
          <w:szCs w:val="26"/>
        </w:rPr>
        <w:t>Учреждения культуры клубного типа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 За сетевую единицу принимаются учреждения культуры клубного типа всех форм собственности.</w:t>
      </w:r>
    </w:p>
    <w:p w:rsidR="008F16B3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5" w:history="1">
        <w:r w:rsidRPr="00615820">
          <w:rPr>
            <w:rFonts w:ascii="Times New Roman" w:hAnsi="Times New Roman" w:cs="Times New Roman"/>
            <w:sz w:val="26"/>
            <w:szCs w:val="26"/>
          </w:rPr>
          <w:t>таблицей 6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Рекомендаций-965 минимальный перечень подвидов учреждений культуры клубного типа на уровне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составляет областной </w:t>
      </w:r>
      <w:r w:rsidR="008F16B3" w:rsidRPr="00615820">
        <w:rPr>
          <w:rFonts w:ascii="Times New Roman" w:hAnsi="Times New Roman" w:cs="Times New Roman"/>
          <w:sz w:val="26"/>
          <w:szCs w:val="26"/>
        </w:rPr>
        <w:t>Дом</w:t>
      </w:r>
      <w:r w:rsidRPr="00615820">
        <w:rPr>
          <w:rFonts w:ascii="Times New Roman" w:hAnsi="Times New Roman" w:cs="Times New Roman"/>
          <w:sz w:val="26"/>
          <w:szCs w:val="26"/>
        </w:rPr>
        <w:t xml:space="preserve"> культуры.</w:t>
      </w:r>
    </w:p>
    <w:p w:rsidR="005449A5" w:rsidRPr="00615820" w:rsidRDefault="005449A5" w:rsidP="008F16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Количество таких учреждений определяется в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F16B3"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sz w:val="26"/>
          <w:szCs w:val="26"/>
        </w:rPr>
        <w:t>исходя из культурного разнообразия территории и уровня бюджетной обеспеченности.</w:t>
      </w:r>
    </w:p>
    <w:p w:rsidR="008F16B3" w:rsidRPr="00615820" w:rsidRDefault="008F16B3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 ПРАВИЛА И ОБЛАСТЬ ПРИМЕНЕНИЯ РАСЧЕТНЫХ ПОКАЗАТЕЛЕЙ, СОДЕРЖАЩИХСЯ В ОСНОВНОЙ ЧАСТИ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 xml:space="preserve">3.1 Область применения расчетных показателей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326AF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>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 поселения, подготовке проектной документации применительно к строящимся, реконструируемым объектам капитального строительства местного значения.</w:t>
      </w:r>
    </w:p>
    <w:p w:rsidR="00830F93" w:rsidRPr="00615820" w:rsidRDefault="00755900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Нормативы установлены с учётом природно-климатических, социальнодемографических, национальных, территориальных особенностей поселения, и содержат минимальные расчётные показатели обеспечения благоприятных условий жизнедеятельности человека, в том числе показатели обеспечения объектами социального и коммунально-бытового назначения, доступности объектов социального назначения для населения.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326AF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 xml:space="preserve">применяются при подготовке, согласовании, экспертизе, утверждении и реализации документов территориального планирования (генерального плана сельского поселения), документации по планировке территорий в части размещения объектов местного значения поселения, правил землепользования и застройки с учётом перспективы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 xml:space="preserve">их развития, а также используются для принятия решений органами государственной власти, органами местного самоуправления, при осуществлении градостроительной деятельности физическими и юридическими лицами.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Тейковского муниципального района </w:t>
      </w:r>
      <w:r w:rsidRPr="00615820">
        <w:rPr>
          <w:rFonts w:ascii="Times New Roman" w:hAnsi="Times New Roman" w:cs="Times New Roman"/>
          <w:sz w:val="26"/>
          <w:szCs w:val="26"/>
        </w:rPr>
        <w:t>распространяются на предлагаемые к размещению на территории местного значения в области транспорта, инженерного обеспечения, физической культуры и массового спорта.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3.2 Состав участников градостроительных отношений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В состав участников градостроительной деятельности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входят: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1. Органы местного самоуправления, осуществляющие процесс согласования, утверждения документов, выдачи разрешений на строительство и пр., в том числе: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- Администрация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в лице Отдела градостроительства;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2. Население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>, а также физические и юридические лица, предприниматели, осуществляющие или планирующие осуществлять свою деятельность на территории п</w:t>
      </w:r>
      <w:r w:rsidR="00B52438" w:rsidRPr="00615820">
        <w:rPr>
          <w:rFonts w:ascii="Times New Roman" w:hAnsi="Times New Roman" w:cs="Times New Roman"/>
          <w:sz w:val="26"/>
          <w:szCs w:val="26"/>
        </w:rPr>
        <w:t>оселения, которые обращаются 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дминистрацию по вопросам выдачи разрешений на строительство, предоставления градостроительных планов земельных участков, предоставляют предложения и запросы о возможности внесения изменений в документы градостроительного проектирования, связанные с хозяйственной деятельностью и пр.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>3. Проектные и проектно-изыскательские организации, непосредственно осуществляющие подготовку документов территориального планирования, градостроительного зонирования и планировки территории по заданию органов местного самоуправления или для иного физического или юридического л</w:t>
      </w:r>
      <w:r w:rsidR="00B52438" w:rsidRPr="00615820">
        <w:rPr>
          <w:rFonts w:ascii="Times New Roman" w:hAnsi="Times New Roman" w:cs="Times New Roman"/>
          <w:sz w:val="26"/>
          <w:szCs w:val="26"/>
        </w:rPr>
        <w:t>ица под контролем специалистов а</w:t>
      </w:r>
      <w:r w:rsidRPr="00615820">
        <w:rPr>
          <w:rFonts w:ascii="Times New Roman" w:hAnsi="Times New Roman" w:cs="Times New Roman"/>
          <w:sz w:val="26"/>
          <w:szCs w:val="26"/>
        </w:rPr>
        <w:t xml:space="preserve">дминистрации.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3.3 Документы градостроительного проектирования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К документам градостроительного проектирования, в которых должны быть соблюдены требования настоящих нормативов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Pr="00615820">
        <w:rPr>
          <w:rFonts w:ascii="Times New Roman" w:hAnsi="Times New Roman" w:cs="Times New Roman"/>
          <w:sz w:val="26"/>
          <w:szCs w:val="26"/>
        </w:rPr>
        <w:t xml:space="preserve"> относятся: 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1. Документы территориального планирования - Генеральный план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50469" w:rsidRPr="00615820">
        <w:rPr>
          <w:rFonts w:ascii="Times New Roman" w:hAnsi="Times New Roman" w:cs="Times New Roman"/>
          <w:sz w:val="26"/>
          <w:szCs w:val="26"/>
        </w:rPr>
        <w:t>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2. Документы градостроительного зонирования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50469" w:rsidRPr="00615820">
        <w:rPr>
          <w:rFonts w:ascii="Times New Roman" w:hAnsi="Times New Roman" w:cs="Times New Roman"/>
          <w:sz w:val="26"/>
          <w:szCs w:val="26"/>
        </w:rPr>
        <w:t xml:space="preserve"> Тейковского муниципального района</w:t>
      </w:r>
      <w:r w:rsidR="00F03E82" w:rsidRPr="00615820">
        <w:rPr>
          <w:rFonts w:ascii="Times New Roman" w:hAnsi="Times New Roman" w:cs="Times New Roman"/>
          <w:sz w:val="26"/>
          <w:szCs w:val="26"/>
        </w:rPr>
        <w:t xml:space="preserve"> -</w:t>
      </w:r>
      <w:r w:rsidRPr="00615820">
        <w:rPr>
          <w:rFonts w:ascii="Times New Roman" w:hAnsi="Times New Roman" w:cs="Times New Roman"/>
          <w:sz w:val="26"/>
          <w:szCs w:val="26"/>
        </w:rPr>
        <w:t xml:space="preserve"> Правила землепользования и застройки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03E82" w:rsidRPr="00615820">
        <w:rPr>
          <w:rFonts w:ascii="Times New Roman" w:hAnsi="Times New Roman" w:cs="Times New Roman"/>
          <w:sz w:val="26"/>
          <w:szCs w:val="26"/>
        </w:rPr>
        <w:t>.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3. Документы планировки территории - Проекты планировки территорий для размещения объектов местного значения; Местные нормативы градостроительного проектирования </w:t>
      </w:r>
      <w:r w:rsidR="002674EB">
        <w:rPr>
          <w:rFonts w:ascii="Times New Roman" w:hAnsi="Times New Roman" w:cs="Times New Roman"/>
          <w:sz w:val="26"/>
          <w:szCs w:val="26"/>
        </w:rPr>
        <w:t xml:space="preserve">Новолеушинского </w:t>
      </w:r>
      <w:r w:rsidR="002674EB" w:rsidRPr="00F83AF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15820">
        <w:rPr>
          <w:rFonts w:ascii="Times New Roman" w:hAnsi="Times New Roman" w:cs="Times New Roman"/>
          <w:sz w:val="26"/>
          <w:szCs w:val="26"/>
        </w:rPr>
        <w:t xml:space="preserve"> - Градостроительные планы земельных участков; - Схемы планировочной организации земельных участков</w:t>
      </w:r>
    </w:p>
    <w:p w:rsidR="00830F93" w:rsidRPr="00615820" w:rsidRDefault="00755900" w:rsidP="00DC677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 4. Раздел проектной документации на строительство «Схема планировочной о</w:t>
      </w:r>
      <w:r w:rsidR="00350469" w:rsidRPr="00615820">
        <w:rPr>
          <w:rFonts w:ascii="Times New Roman" w:hAnsi="Times New Roman" w:cs="Times New Roman"/>
          <w:sz w:val="26"/>
          <w:szCs w:val="26"/>
        </w:rPr>
        <w:t>рганизации земельного участка».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3E82" w:rsidRPr="00615820" w:rsidRDefault="00755900" w:rsidP="00F03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5820">
        <w:rPr>
          <w:rFonts w:ascii="Times New Roman" w:hAnsi="Times New Roman" w:cs="Times New Roman"/>
          <w:b/>
          <w:sz w:val="26"/>
          <w:szCs w:val="26"/>
        </w:rPr>
        <w:t>4</w:t>
      </w:r>
      <w:r w:rsidR="00F03E82" w:rsidRPr="00615820">
        <w:rPr>
          <w:rFonts w:ascii="Times New Roman" w:hAnsi="Times New Roman" w:cs="Times New Roman"/>
          <w:b/>
          <w:sz w:val="26"/>
          <w:szCs w:val="26"/>
        </w:rPr>
        <w:t>.</w:t>
      </w:r>
      <w:r w:rsidRPr="00615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нормативных правовых актов и иных документов, используемых в нормативах градостроительного проектирования </w:t>
      </w:r>
      <w:r w:rsidR="002674EB">
        <w:rPr>
          <w:rFonts w:ascii="Times New Roman" w:hAnsi="Times New Roman" w:cs="Times New Roman"/>
          <w:b/>
          <w:bCs/>
          <w:sz w:val="26"/>
          <w:szCs w:val="26"/>
        </w:rPr>
        <w:t>Новолеушинского</w:t>
      </w:r>
      <w:r w:rsidR="00F03E82" w:rsidRPr="0061582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Тейковского муниципального района 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5820">
        <w:rPr>
          <w:rFonts w:ascii="Times New Roman" w:hAnsi="Times New Roman" w:cs="Times New Roman"/>
          <w:b/>
          <w:bCs/>
          <w:sz w:val="26"/>
          <w:szCs w:val="26"/>
        </w:rPr>
        <w:t>Ивановской области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56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Жилищный </w:t>
      </w:r>
      <w:hyperlink r:id="rId57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58" w:history="1">
        <w:r w:rsidRPr="0061582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Российской Федерации от 09.10.1992 N 3612-1 "Основы законодательства Российской Федерации о культуре"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0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29.12.1994 N 78-ФЗ "О библиотечном деле"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1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26.05.1996 N 54-ФЗ "О музейном фонде Российской Федерации и музеях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2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3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4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5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04.12.2007 N 329-ФЗ "О физической культуре и спорте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6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7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21.11.2011 N 323-ФЗ "Об основах охраны здоровья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8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69" w:history="1">
        <w:r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Правовые акты федеральных органов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исполнительной власти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перевозок пассажиров и багажа автомобильным транспортом и городским наземным электрическим транспортом, утвержденные постановлением Правительства Российской Федерации от 14.02.2009 N 112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71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Требования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утвержденные приказом Министерства здравоохранения Российской Федерации от 27.02.2016 N 132н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Нормативные правовые акты Ивановской области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25.02.2005 N 59-ОЗ "О социальном обслуживании граждан и социальной поддержке отдельных категорий граждан в Ивановской области"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14.07.2008 N 82-ОЗ "О градостроительной деятельности на территории Ивановской области"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Ивановской области от 14.05.2010 N 45-ОЗ "О физической культуре и спорте в Ивановской области"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Своды правил по проектированию и строительству (СП),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строительные нормы и правила (СНиП)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"Планировка и застройка территорий малоэтажного жилищного строительства", принятый </w:t>
      </w:r>
      <w:hyperlink r:id="rId77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30.12.1999 N 94 (СП 30-102-99)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Строительные </w:t>
      </w:r>
      <w:hyperlink r:id="rId78" w:history="1">
        <w:r w:rsidRPr="00615820">
          <w:rPr>
            <w:rFonts w:ascii="Times New Roman" w:hAnsi="Times New Roman" w:cs="Times New Roman"/>
            <w:sz w:val="26"/>
            <w:szCs w:val="26"/>
          </w:rPr>
          <w:t>нормы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правила "Тепловые сети", принятые </w:t>
      </w:r>
      <w:hyperlink r:id="rId79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24.06.2003 N 110 (СНиП 41-02-2003)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2.09.04-87* "Административные и бытовые здания", утвержденный </w:t>
      </w:r>
      <w:hyperlink r:id="rId8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27.12.2010 N 782 (СП 44.13330.2011)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131.13330.2012 "СНиП 23-01-99* "Строительная климатология", утвержденный </w:t>
      </w:r>
      <w:hyperlink r:id="rId83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Российской Федерации от 30.06.2012 N 275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СП 88.13330.2014 "СНиП II-11-77* "Защитные сооружения гражданской обороны", утвержденный </w:t>
      </w:r>
      <w:hyperlink r:id="rId85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18.02.2014 N 59/пр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Свод правил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"Электроустановки жилых и общественных зданий. Правила проектирования и монтажа", утвержденный </w:t>
      </w:r>
      <w:hyperlink r:id="rId87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29.08.2016 N 602/пр (СП 256.1325800.2016, СП 31-110-2003)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30.13330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2.04.01-85* Внутренний водопровод и канализация зданий", утвержденный </w:t>
      </w:r>
      <w:hyperlink r:id="rId89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16.12.2016 N 951/пр</w:t>
      </w:r>
    </w:p>
    <w:p w:rsidR="00F03E82" w:rsidRPr="00615820" w:rsidRDefault="005A2401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СП 42.13330.2016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"СНиП 2.07.01-89* Градостроительство. Планировка и застройка городских и сельских поселений", утвержденный </w:t>
      </w:r>
      <w:hyperlink r:id="rId91" w:history="1">
        <w:r w:rsidR="00F03E82" w:rsidRPr="00615820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F03E82" w:rsidRPr="0061582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30.12.2016 N 1034/пр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Санитарные правила и нормы (СанПиН)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2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СанПиН 2.4.3.1186-03, утвержденные Главным государственным санитарным врачом Российской Федерации 26.01.2003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3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2.4.2.2821-10 "Санитарно-эпидемиологические требования к условиям и организации обучения в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общеобразовательных учреждениях", утвержденные постановлением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4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учреждений", утвержденные постановлением Главного государственного санитарного врача Российской Федерации от 23.03.2011 N 23 "Об утверждении СП 2.1.2.2844-11 "Санитарно-эпидемиологические требования к устройству, оборудованию и содержанию общежитий для работников организаций и обучающихся образовательных учреждений"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5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постановлением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</w:t>
      </w:r>
      <w:hyperlink r:id="rId96" w:history="1">
        <w:r w:rsidRPr="0061582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и нормативы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утвержденные постановлением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15820">
        <w:rPr>
          <w:rFonts w:ascii="Times New Roman" w:hAnsi="Times New Roman" w:cs="Times New Roman"/>
          <w:bCs/>
          <w:sz w:val="26"/>
          <w:szCs w:val="26"/>
        </w:rPr>
        <w:t>Методические и прочие документы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97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8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Климовым А.А. 04.05.2016 N АК-15/02вн), направленные письмом Министерства образования и науки Российской Федерации от 04.05.2016 N АК-950/02 "О методических рекомендациях"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99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местности, утвержденные приказом Министерства труда и социальной защиты Российской Федерации от 05.05.2016 N 219 "Об утверждении методических рекомендаций по </w:t>
      </w:r>
      <w:r w:rsidRPr="00615820">
        <w:rPr>
          <w:rFonts w:ascii="Times New Roman" w:hAnsi="Times New Roman" w:cs="Times New Roman"/>
          <w:sz w:val="26"/>
          <w:szCs w:val="26"/>
        </w:rPr>
        <w:lastRenderedPageBreak/>
        <w:t>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100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1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по расчету потребностей субъектов Российской Федерации в развитии сети организаций социального обслуживания, утвержденные приказом Министерства труда и социальной защиты Российской Федерации от 24.11.2014 N 934н "Об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2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утвержденные распоряжением Министерства культуры Российской Федерации от 02.08.2017 N Р-965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3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4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Методические </w:t>
      </w:r>
      <w:hyperlink r:id="rId105" w:history="1">
        <w:r w:rsidRPr="0061582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о применении нормативов и норм ресурсной обеспеченности населения в сфере здравоохранения, утвержденные приказом Министерства здравоохранения Российской Федерации от 20.04.2018 N 182 "Об утверждении методических рекомендаций о применении нормативов и норм ресурсной обеспеченности населения в сфере здравоохранения"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5820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6" w:history="1">
        <w:r w:rsidRPr="0061582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15820">
        <w:rPr>
          <w:rFonts w:ascii="Times New Roman" w:hAnsi="Times New Roman" w:cs="Times New Roman"/>
          <w:sz w:val="26"/>
          <w:szCs w:val="26"/>
        </w:rPr>
        <w:t xml:space="preserve"> Правительства Ивановской области от 24.12.2018 N 393-п)</w:t>
      </w: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3E82" w:rsidRPr="00615820" w:rsidRDefault="00F03E82" w:rsidP="00F03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4123" w:rsidRPr="00615820" w:rsidRDefault="000C4123" w:rsidP="00F03E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0C4123" w:rsidRPr="00615820" w:rsidSect="00B20509">
      <w:footerReference w:type="default" r:id="rId10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01" w:rsidRDefault="005A2401" w:rsidP="00BE251A">
      <w:pPr>
        <w:spacing w:after="0" w:line="240" w:lineRule="auto"/>
      </w:pPr>
      <w:r>
        <w:separator/>
      </w:r>
    </w:p>
  </w:endnote>
  <w:endnote w:type="continuationSeparator" w:id="0">
    <w:p w:rsidR="005A2401" w:rsidRDefault="005A2401" w:rsidP="00BE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155410"/>
      <w:docPartObj>
        <w:docPartGallery w:val="Page Numbers (Bottom of Page)"/>
        <w:docPartUnique/>
      </w:docPartObj>
    </w:sdtPr>
    <w:sdtEndPr/>
    <w:sdtContent>
      <w:p w:rsidR="006D5638" w:rsidRDefault="006D5638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1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5638" w:rsidRDefault="006D5638">
    <w:pPr>
      <w:pStyle w:val="a7"/>
    </w:pPr>
  </w:p>
  <w:p w:rsidR="006D5638" w:rsidRDefault="006D563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01" w:rsidRDefault="005A2401" w:rsidP="00BE251A">
      <w:pPr>
        <w:spacing w:after="0" w:line="240" w:lineRule="auto"/>
      </w:pPr>
      <w:r>
        <w:separator/>
      </w:r>
    </w:p>
  </w:footnote>
  <w:footnote w:type="continuationSeparator" w:id="0">
    <w:p w:rsidR="005A2401" w:rsidRDefault="005A2401" w:rsidP="00BE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728"/>
    <w:rsid w:val="00011278"/>
    <w:rsid w:val="000156EB"/>
    <w:rsid w:val="0003428F"/>
    <w:rsid w:val="00050C35"/>
    <w:rsid w:val="00063AC3"/>
    <w:rsid w:val="0006516D"/>
    <w:rsid w:val="00067672"/>
    <w:rsid w:val="000C4123"/>
    <w:rsid w:val="000C4B33"/>
    <w:rsid w:val="000D3B90"/>
    <w:rsid w:val="000D4687"/>
    <w:rsid w:val="000D61CD"/>
    <w:rsid w:val="00100FF6"/>
    <w:rsid w:val="00107C19"/>
    <w:rsid w:val="00150D0B"/>
    <w:rsid w:val="00161728"/>
    <w:rsid w:val="0018538B"/>
    <w:rsid w:val="001B4A1E"/>
    <w:rsid w:val="001E794A"/>
    <w:rsid w:val="00206DFC"/>
    <w:rsid w:val="0020772A"/>
    <w:rsid w:val="00256445"/>
    <w:rsid w:val="002674EB"/>
    <w:rsid w:val="00291819"/>
    <w:rsid w:val="002A3563"/>
    <w:rsid w:val="002F0C71"/>
    <w:rsid w:val="003002A2"/>
    <w:rsid w:val="003014DB"/>
    <w:rsid w:val="00350469"/>
    <w:rsid w:val="00374999"/>
    <w:rsid w:val="003B7043"/>
    <w:rsid w:val="003C7CC4"/>
    <w:rsid w:val="003D4704"/>
    <w:rsid w:val="003D79F4"/>
    <w:rsid w:val="003E1EAC"/>
    <w:rsid w:val="00493A4A"/>
    <w:rsid w:val="004A08C1"/>
    <w:rsid w:val="004A7D67"/>
    <w:rsid w:val="005326AF"/>
    <w:rsid w:val="005449A5"/>
    <w:rsid w:val="0056088A"/>
    <w:rsid w:val="00576198"/>
    <w:rsid w:val="00585BA0"/>
    <w:rsid w:val="005916A3"/>
    <w:rsid w:val="005A2401"/>
    <w:rsid w:val="005E35F6"/>
    <w:rsid w:val="00615820"/>
    <w:rsid w:val="00633D21"/>
    <w:rsid w:val="0064688B"/>
    <w:rsid w:val="006A694E"/>
    <w:rsid w:val="006C274C"/>
    <w:rsid w:val="006D5638"/>
    <w:rsid w:val="006F5BE7"/>
    <w:rsid w:val="00733E4F"/>
    <w:rsid w:val="00751A69"/>
    <w:rsid w:val="00753CB0"/>
    <w:rsid w:val="00755900"/>
    <w:rsid w:val="007A4E56"/>
    <w:rsid w:val="007B214D"/>
    <w:rsid w:val="007C3B75"/>
    <w:rsid w:val="007C4229"/>
    <w:rsid w:val="00815084"/>
    <w:rsid w:val="00830F93"/>
    <w:rsid w:val="00846E0D"/>
    <w:rsid w:val="008A4B7B"/>
    <w:rsid w:val="008B6950"/>
    <w:rsid w:val="008D5F08"/>
    <w:rsid w:val="008E2941"/>
    <w:rsid w:val="008F16B3"/>
    <w:rsid w:val="00900509"/>
    <w:rsid w:val="00905B2E"/>
    <w:rsid w:val="00917354"/>
    <w:rsid w:val="009207F5"/>
    <w:rsid w:val="00943A0E"/>
    <w:rsid w:val="00973FAD"/>
    <w:rsid w:val="009F1B84"/>
    <w:rsid w:val="00A066F9"/>
    <w:rsid w:val="00A06EB0"/>
    <w:rsid w:val="00A272F9"/>
    <w:rsid w:val="00A45C84"/>
    <w:rsid w:val="00A53AAC"/>
    <w:rsid w:val="00AA79A3"/>
    <w:rsid w:val="00AE2CD5"/>
    <w:rsid w:val="00B20509"/>
    <w:rsid w:val="00B52438"/>
    <w:rsid w:val="00B55D6A"/>
    <w:rsid w:val="00B72749"/>
    <w:rsid w:val="00B97D88"/>
    <w:rsid w:val="00BB3D59"/>
    <w:rsid w:val="00BC2569"/>
    <w:rsid w:val="00BE251A"/>
    <w:rsid w:val="00C05AF9"/>
    <w:rsid w:val="00C4446E"/>
    <w:rsid w:val="00C655A4"/>
    <w:rsid w:val="00C83DE1"/>
    <w:rsid w:val="00CB23A5"/>
    <w:rsid w:val="00CB446A"/>
    <w:rsid w:val="00D077D4"/>
    <w:rsid w:val="00D17E80"/>
    <w:rsid w:val="00D21894"/>
    <w:rsid w:val="00D2579A"/>
    <w:rsid w:val="00D2623E"/>
    <w:rsid w:val="00D74BDC"/>
    <w:rsid w:val="00D9025A"/>
    <w:rsid w:val="00DA4D40"/>
    <w:rsid w:val="00DC6775"/>
    <w:rsid w:val="00E0127C"/>
    <w:rsid w:val="00E03D5E"/>
    <w:rsid w:val="00E3518C"/>
    <w:rsid w:val="00E73C44"/>
    <w:rsid w:val="00EE7545"/>
    <w:rsid w:val="00F03E82"/>
    <w:rsid w:val="00F1570D"/>
    <w:rsid w:val="00F40337"/>
    <w:rsid w:val="00F40560"/>
    <w:rsid w:val="00F5097C"/>
    <w:rsid w:val="00F61B37"/>
    <w:rsid w:val="00F733D8"/>
    <w:rsid w:val="00F749FE"/>
    <w:rsid w:val="00F83AF8"/>
    <w:rsid w:val="00F84DF4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57D4"/>
  <w15:docId w15:val="{97233B41-2429-462E-8DFD-5935C582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7C"/>
  </w:style>
  <w:style w:type="paragraph" w:styleId="1">
    <w:name w:val="heading 1"/>
    <w:basedOn w:val="a"/>
    <w:next w:val="a"/>
    <w:link w:val="10"/>
    <w:uiPriority w:val="9"/>
    <w:qFormat/>
    <w:rsid w:val="00905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5B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05B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05B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E251A"/>
  </w:style>
  <w:style w:type="paragraph" w:styleId="a5">
    <w:name w:val="header"/>
    <w:basedOn w:val="a"/>
    <w:link w:val="a6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51A"/>
  </w:style>
  <w:style w:type="paragraph" w:styleId="a7">
    <w:name w:val="footer"/>
    <w:basedOn w:val="a"/>
    <w:link w:val="a8"/>
    <w:uiPriority w:val="99"/>
    <w:unhideWhenUsed/>
    <w:rsid w:val="00BE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51A"/>
  </w:style>
  <w:style w:type="paragraph" w:styleId="a9">
    <w:name w:val="Balloon Text"/>
    <w:basedOn w:val="a"/>
    <w:link w:val="aa"/>
    <w:uiPriority w:val="99"/>
    <w:semiHidden/>
    <w:unhideWhenUsed/>
    <w:rsid w:val="0084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6E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7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05B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5B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5B2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05B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05B2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AFA0FB31F7E67D486F7C215D901AB955F8F8C30FEC6672BF20A7465A3CE1A75AE052AFA647A7DF18E4954FtAoCH" TargetMode="External"/><Relationship Id="rId21" Type="http://schemas.openxmlformats.org/officeDocument/2006/relationships/hyperlink" Target="consultantplus://offline/ref=12AFA0FB31F7E67D486F7C215D901AB955FAFDC70EEC6672BF20A7465A3CE1A75AE052AFA647A7DF18E4954FtAoCH" TargetMode="External"/><Relationship Id="rId42" Type="http://schemas.openxmlformats.org/officeDocument/2006/relationships/hyperlink" Target="consultantplus://offline/ref=3F574D1FB6A49AABE7899C705F32506E46E0C3D397F9335D7F8DA71ACE0C1F10593E7704A201aBH" TargetMode="External"/><Relationship Id="rId47" Type="http://schemas.openxmlformats.org/officeDocument/2006/relationships/hyperlink" Target="consultantplus://offline/ref=3F574D1FB6A49AABE7899C705F32506E45E9C2D292FF335D7F8DA71ACE0C1F10593E7704A61F50B406a9H" TargetMode="External"/><Relationship Id="rId63" Type="http://schemas.openxmlformats.org/officeDocument/2006/relationships/hyperlink" Target="consultantplus://offline/ref=642E2B3E67CE3CA76850587009259F17073FDF879DB42D9F75381F91E48278EC40C513122437A48AF4336E8D2FB7DBI" TargetMode="External"/><Relationship Id="rId68" Type="http://schemas.openxmlformats.org/officeDocument/2006/relationships/hyperlink" Target="consultantplus://offline/ref=642E2B3E67CE3CA76850587009259F17073CD3809BB72D9F75381F91E48278EC40C513122437A48AF4336E8D2FB7DBI" TargetMode="External"/><Relationship Id="rId84" Type="http://schemas.openxmlformats.org/officeDocument/2006/relationships/hyperlink" Target="consultantplus://offline/ref=642E2B3E67CE3CA76850597E19259F17063ED0849FBD70957D611393E38D27E955D44B1F212CBA8CEC2F6C8CB2D7I" TargetMode="External"/><Relationship Id="rId89" Type="http://schemas.openxmlformats.org/officeDocument/2006/relationships/hyperlink" Target="consultantplus://offline/ref=642E2B3E67CE3CA76850466B1C259F17063CD78698B02D9F75381F91E48278EC40C513122437A48AF4336E8D2FB7D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AFA0FB31F7E67D486F633458901AB955FEFAC007E33B78B779AB445D33BEA24FF10AA2A35CB9D900F8974EA4t6o3H" TargetMode="External"/><Relationship Id="rId29" Type="http://schemas.openxmlformats.org/officeDocument/2006/relationships/hyperlink" Target="consultantplus://offline/ref=12AFA0FB31F7E67D486F633458901AB955F9FDC706E13B78B779AB445D33BEA24FF10AA2A35CB9D900F8974EA4t6o3H" TargetMode="External"/><Relationship Id="rId107" Type="http://schemas.openxmlformats.org/officeDocument/2006/relationships/footer" Target="footer1.xml"/><Relationship Id="rId11" Type="http://schemas.openxmlformats.org/officeDocument/2006/relationships/hyperlink" Target="consultantplus://offline/ref=12AFA0FB31F7E67D486F633458901AB955FCF8C60FEE3B78B779AB445D33BEA24FF10AA2A35CB9D900F8974EA4t6o3H" TargetMode="External"/><Relationship Id="rId24" Type="http://schemas.openxmlformats.org/officeDocument/2006/relationships/hyperlink" Target="consultantplus://offline/ref=12AFA0FB31F7E67D486F7C215D901AB954FDFCCA51BB6423EA2EA24E0A66F1A313B55AB1A35FB9DB06E7t9oCH" TargetMode="External"/><Relationship Id="rId32" Type="http://schemas.openxmlformats.org/officeDocument/2006/relationships/hyperlink" Target="consultantplus://offline/ref=3F574D1FB6A49AABE78983655A32506E46EFC3D191F56E5777D4AB180Ca9H" TargetMode="External"/><Relationship Id="rId37" Type="http://schemas.openxmlformats.org/officeDocument/2006/relationships/hyperlink" Target="consultantplus://offline/ref=3F574D1FB6A49AABE7899C705F32506E45E9C5D593F7335D7F8DA71ACE0C1F10593E7704A61F50B406a9H" TargetMode="External"/><Relationship Id="rId40" Type="http://schemas.openxmlformats.org/officeDocument/2006/relationships/hyperlink" Target="consultantplus://offline/ref=3F574D1FB6A49AABE7899C705F32506E45E9C5D190F8335D7F8DA71ACE0C1F10593E7704A61F50B406a9H" TargetMode="External"/><Relationship Id="rId45" Type="http://schemas.openxmlformats.org/officeDocument/2006/relationships/hyperlink" Target="consultantplus://offline/ref=3F574D1FB6A49AABE78983655A32506E45E8C2D497F56E5777D4AB18C90340075E777B05A61A570Ba4H" TargetMode="External"/><Relationship Id="rId53" Type="http://schemas.openxmlformats.org/officeDocument/2006/relationships/hyperlink" Target="consultantplus://offline/ref=3F574D1FB6A49AABE7899C705F32506E45E8C0D19CF8335D7F8DA71ACE0C1F10593E7704A61F50B406a8H" TargetMode="External"/><Relationship Id="rId58" Type="http://schemas.openxmlformats.org/officeDocument/2006/relationships/hyperlink" Target="consultantplus://offline/ref=642E2B3E67CE3CA76850587009259F17073ED78891B62D9F75381F91E48278EC40C513122437A48AF4336E8D2FB7DBI" TargetMode="External"/><Relationship Id="rId66" Type="http://schemas.openxmlformats.org/officeDocument/2006/relationships/hyperlink" Target="consultantplus://offline/ref=642E2B3E67CE3CA76850587009259F170637D5869CB42D9F75381F91E48278EC40C513122437A48AF4336E8D2FB7DBI" TargetMode="External"/><Relationship Id="rId74" Type="http://schemas.openxmlformats.org/officeDocument/2006/relationships/hyperlink" Target="consultantplus://offline/ref=642E2B3E67CE3CA7685058660A49C3180035898D98B520C02D6A19C6BBD27EB912854D4B7576EF87F228728D286C39C8A9BAD9I" TargetMode="External"/><Relationship Id="rId79" Type="http://schemas.openxmlformats.org/officeDocument/2006/relationships/hyperlink" Target="consultantplus://offline/ref=642E2B3E67CE3CA76850597E19259F17063AD78892E07A9D246D1194ECD222FC448C461A3A32BC94F02D6DB8D4I" TargetMode="External"/><Relationship Id="rId87" Type="http://schemas.openxmlformats.org/officeDocument/2006/relationships/hyperlink" Target="consultantplus://offline/ref=642E2B3E67CE3CA76850466B1C259F170639D28791BF2D9F75381F91E48278EC40C513122437A48AF4336E8D2FB7DBI" TargetMode="External"/><Relationship Id="rId102" Type="http://schemas.openxmlformats.org/officeDocument/2006/relationships/hyperlink" Target="consultantplus://offline/ref=642E2B3E67CE3CA76850587009259F17063CD5849EB62D9F75381F91E48278EC52C54B1E2432BA8AFB2638DC6A2736C8ADBE3FEB204FFA18BEDBI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42E2B3E67CE3CA76850587009259F17073FD3889ABF2D9F75381F91E48278EC40C513122437A48AF4336E8D2FB7DBI" TargetMode="External"/><Relationship Id="rId82" Type="http://schemas.openxmlformats.org/officeDocument/2006/relationships/hyperlink" Target="consultantplus://offline/ref=642E2B3E67CE3CA76850597E19259F17063FDF829ABD70957D611393E38D27E955D44B1F212CBA8CEC2F6C8CB2D7I" TargetMode="External"/><Relationship Id="rId90" Type="http://schemas.openxmlformats.org/officeDocument/2006/relationships/hyperlink" Target="consultantplus://offline/ref=642E2B3E67CE3CA76850597E19259F17063FD7879BBD70957D611393E38D27E955D44B1F212CBA8CEC2F6C8CB2D7I" TargetMode="External"/><Relationship Id="rId95" Type="http://schemas.openxmlformats.org/officeDocument/2006/relationships/hyperlink" Target="consultantplus://offline/ref=642E2B3E67CE3CA76850587009259F170536D2879DB12D9F75381F91E48278EC52C54B1E2432BA8BF72638DC6A2736C8ADBE3FEB204FFA18BEDBI" TargetMode="External"/><Relationship Id="rId19" Type="http://schemas.openxmlformats.org/officeDocument/2006/relationships/hyperlink" Target="consultantplus://offline/ref=12AFA0FB31F7E67D486F7C215D901AB955FFFDC90CB16C7AE62CA5415563E4B24BB85FAABD59A1C704E694t4o7H" TargetMode="External"/><Relationship Id="rId14" Type="http://schemas.openxmlformats.org/officeDocument/2006/relationships/hyperlink" Target="consultantplus://offline/ref=12AFA0FB31F7E67D486F633458901AB955FEFAC007E33B78B779AB445D33BEA25DF152AEA359A7DF00EDC11FE13FB415B25A43C82E46FB10tCo2H" TargetMode="External"/><Relationship Id="rId22" Type="http://schemas.openxmlformats.org/officeDocument/2006/relationships/hyperlink" Target="consultantplus://offline/ref=12AFA0FB31F7E67D486F633458901AB955FDFEC30FEF3B78B779AB445D33BEA24FF10AA2A35CB9D900F8974EA4t6o3H" TargetMode="External"/><Relationship Id="rId27" Type="http://schemas.openxmlformats.org/officeDocument/2006/relationships/hyperlink" Target="consultantplus://offline/ref=12AFA0FB31F7E67D486F633458901AB955FDFEC30FE03B78B779AB445D33BEA24FF10AA2A35CB9D900F8974EA4t6o3H" TargetMode="External"/><Relationship Id="rId30" Type="http://schemas.openxmlformats.org/officeDocument/2006/relationships/hyperlink" Target="consultantplus://offline/ref=12AFA0FB31F7E67D486F7D2F4D901AB956FBF4C80EE43B78B779AB445D33BEA25DF152AEA359A4DF02EDC11FE13FB415B25A43C82E46FB10tCo2H" TargetMode="External"/><Relationship Id="rId35" Type="http://schemas.openxmlformats.org/officeDocument/2006/relationships/hyperlink" Target="consultantplus://offline/ref=3F574D1FB6A49AABE7899C705F32506E45E9C5D593F7335D7F8DA71ACE0C1F10593E7704A61F50B406a9H" TargetMode="External"/><Relationship Id="rId43" Type="http://schemas.openxmlformats.org/officeDocument/2006/relationships/hyperlink" Target="consultantplus://offline/ref=3F574D1FB6A49AABE7899C705F32506E46E0C3D397F9335D7F8DA71ACE0C1F10593E77070Aa3H" TargetMode="External"/><Relationship Id="rId48" Type="http://schemas.openxmlformats.org/officeDocument/2006/relationships/hyperlink" Target="consultantplus://offline/ref=3F574D1FB6A49AABE7899C705F32506E46E0C7DB95F9335D7F8DA71ACE0C1F10593E7704A61F50B506a1H" TargetMode="External"/><Relationship Id="rId56" Type="http://schemas.openxmlformats.org/officeDocument/2006/relationships/hyperlink" Target="consultantplus://offline/ref=642E2B3E67CE3CA76850587009259F17073ED68098B72D9F75381F91E48278EC40C513122437A48AF4336E8D2FB7DBI" TargetMode="External"/><Relationship Id="rId64" Type="http://schemas.openxmlformats.org/officeDocument/2006/relationships/hyperlink" Target="consultantplus://offline/ref=642E2B3E67CE3CA76850587009259F17073CD3809FB32D9F75381F91E48278EC40C513122437A48AF4336E8D2FB7DBI" TargetMode="External"/><Relationship Id="rId69" Type="http://schemas.openxmlformats.org/officeDocument/2006/relationships/hyperlink" Target="consultantplus://offline/ref=642E2B3E67CE3CA76850587009259F17073CD3809AB62D9F75381F91E48278EC40C513122437A48AF4336E8D2FB7DBI" TargetMode="External"/><Relationship Id="rId77" Type="http://schemas.openxmlformats.org/officeDocument/2006/relationships/hyperlink" Target="consultantplus://offline/ref=642E2B3E67CE3CA76850597E19259F170537D78192E07A9D246D1194ECD222FC448C461A3A32BC94F02D6DB8D4I" TargetMode="External"/><Relationship Id="rId100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05" Type="http://schemas.openxmlformats.org/officeDocument/2006/relationships/hyperlink" Target="consultantplus://offline/ref=642E2B3E67CE3CA76850587009259F170637D0819BB42D9F75381F91E48278EC52C54B1E2432BA8AFA2638DC6A2736C8ADBE3FEB204FFA18BEDBI" TargetMode="External"/><Relationship Id="rId8" Type="http://schemas.openxmlformats.org/officeDocument/2006/relationships/hyperlink" Target="consultantplus://offline/ref=12AFA0FB31F7E67D486F633458901AB955FEFAC007E33B78B779AB445D33BEA24FF10AA2A35CB9D900F8974EA4t6o3H" TargetMode="External"/><Relationship Id="rId51" Type="http://schemas.openxmlformats.org/officeDocument/2006/relationships/hyperlink" Target="consultantplus://offline/ref=3F574D1FB6A49AABE7899C705F32506E45EBC0D792FE335D7F8DA71ACE0C1F10593E7704A61F50B406a8H" TargetMode="External"/><Relationship Id="rId72" Type="http://schemas.openxmlformats.org/officeDocument/2006/relationships/hyperlink" Target="consultantplus://offline/ref=642E2B3E67CE3CA76850587009259F170537D28899B12D9F75381F91E48278EC52C54B1E2432BA8BF22638DC6A2736C8ADBE3FEB204FFA18BEDBI" TargetMode="External"/><Relationship Id="rId80" Type="http://schemas.openxmlformats.org/officeDocument/2006/relationships/hyperlink" Target="consultantplus://offline/ref=642E2B3E67CE3CA76850597E19259F17063DD28291BD70957D611393E38D27E955D44B1F212CBA8CEC2F6C8CB2D7I" TargetMode="External"/><Relationship Id="rId85" Type="http://schemas.openxmlformats.org/officeDocument/2006/relationships/hyperlink" Target="consultantplus://offline/ref=642E2B3E67CE3CA76850466B1C259F170639D78198B02D9F75381F91E48278EC40C513122437A48AF4336E8D2FB7DBI" TargetMode="External"/><Relationship Id="rId93" Type="http://schemas.openxmlformats.org/officeDocument/2006/relationships/hyperlink" Target="consultantplus://offline/ref=642E2B3E67CE3CA76850587009259F170537D6809BB12D9F75381F91E48278EC52C54B1E2432BA8BF62638DC6A2736C8ADBE3FEB204FFA18BEDBI" TargetMode="External"/><Relationship Id="rId98" Type="http://schemas.openxmlformats.org/officeDocument/2006/relationships/hyperlink" Target="consultantplus://offline/ref=642E2B3E67CE3CA76850587009259F17063ED0829CB02D9F75381F91E48278EC52C54B1E2432BA8AFA2638DC6A2736C8ADBE3FEB204FFA18BED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AFA0FB31F7E67D486F7C215D901AB956FDFFC100EC6672BF20A7465A3CE1A75AE052AFA647A7DF18E4954FtAoCH" TargetMode="External"/><Relationship Id="rId17" Type="http://schemas.openxmlformats.org/officeDocument/2006/relationships/hyperlink" Target="consultantplus://offline/ref=12AFA0FB31F7E67D486F7C215D901AB955FAFDC605EC6672BF20A7465A3CE1A75AE052AFA647A7DF18E4954FtAoCH" TargetMode="External"/><Relationship Id="rId25" Type="http://schemas.openxmlformats.org/officeDocument/2006/relationships/hyperlink" Target="consultantplus://offline/ref=12AFA0FB31F7E67D486F7C215D901AB956F2FDC00CB16C7AE62CA5415563E4B24BB85FAABD59A1C704E694t4o7H" TargetMode="External"/><Relationship Id="rId33" Type="http://schemas.openxmlformats.org/officeDocument/2006/relationships/hyperlink" Target="consultantplus://offline/ref=3F574D1FB6A49AABE78983655A32506E45E8C2D497F56E5777D4AB18C90340075E777B05A71E570Ba7H" TargetMode="External"/><Relationship Id="rId38" Type="http://schemas.openxmlformats.org/officeDocument/2006/relationships/hyperlink" Target="consultantplus://offline/ref=3F574D1FB6A49AABE7899C705F32506E45E9C5D593F7335D7F8DA71ACE0C1F10593E7704A61F50B406a9H" TargetMode="External"/><Relationship Id="rId46" Type="http://schemas.openxmlformats.org/officeDocument/2006/relationships/hyperlink" Target="consultantplus://offline/ref=3F574D1FB6A49AABE7899C705F32506E45E8C0D19CF8335D7F8DA71ACE0C1F10593E7704A61F50B406a8H" TargetMode="External"/><Relationship Id="rId59" Type="http://schemas.openxmlformats.org/officeDocument/2006/relationships/hyperlink" Target="consultantplus://offline/ref=642E2B3E67CE3CA76850587009259F170636D38399BE2D9F75381F91E48278EC40C513122437A48AF4336E8D2FB7DBI" TargetMode="External"/><Relationship Id="rId67" Type="http://schemas.openxmlformats.org/officeDocument/2006/relationships/hyperlink" Target="consultantplus://offline/ref=642E2B3E67CE3CA76850587009259F17073FDE869EB02D9F75381F91E48278EC40C513122437A48AF4336E8D2FB7DBI" TargetMode="External"/><Relationship Id="rId103" Type="http://schemas.openxmlformats.org/officeDocument/2006/relationships/hyperlink" Target="consultantplus://offline/ref=642E2B3E67CE3CA76850587009259F17073FD3879FBE2D9F75381F91E48278EC52C54B1E2432BA8BF22638DC6A2736C8ADBE3FEB204FFA18BEDBI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12AFA0FB31F7E67D486F7C215D901AB955FCFBC00CB16C7AE62CA5415563E4B24BB85FAABD59A1C704E694t4o7H" TargetMode="External"/><Relationship Id="rId41" Type="http://schemas.openxmlformats.org/officeDocument/2006/relationships/hyperlink" Target="consultantplus://offline/ref=3F574D1FB6A49AABE7899C705F32506E45E9C5D190F8335D7F8DA71ACE0C1F10593E7704A61F50B706a4H" TargetMode="External"/><Relationship Id="rId54" Type="http://schemas.openxmlformats.org/officeDocument/2006/relationships/hyperlink" Target="consultantplus://offline/ref=3F574D1FB6A49AABE7899C705F32506E45EBC0D792FE335D7F8DA71ACE0C1F10593E7704A61F50B406a8H" TargetMode="External"/><Relationship Id="rId62" Type="http://schemas.openxmlformats.org/officeDocument/2006/relationships/hyperlink" Target="consultantplus://offline/ref=642E2B3E67CE3CA76850587009259F17073FD38390B52D9F75381F91E48278EC40C513122437A48AF4336E8D2FB7DBI" TargetMode="External"/><Relationship Id="rId70" Type="http://schemas.openxmlformats.org/officeDocument/2006/relationships/hyperlink" Target="consultantplus://offline/ref=642E2B3E67CE3CA76850587009259F17073FD7899EB52D9F75381F91E48278EC52C54B1E2432BA88FB2638DC6A2736C8ADBE3FEB204FFA18BEDBI" TargetMode="External"/><Relationship Id="rId75" Type="http://schemas.openxmlformats.org/officeDocument/2006/relationships/hyperlink" Target="consultantplus://offline/ref=642E2B3E67CE3CA7685058660A49C3180035898D98B52ECD2F6F19C6BBD27EB912854D4B7576EF87F228728D286C39C8A9BAD9I" TargetMode="External"/><Relationship Id="rId83" Type="http://schemas.openxmlformats.org/officeDocument/2006/relationships/hyperlink" Target="consultantplus://offline/ref=642E2B3E67CE3CA76850466B1C259F170638D28298B02D9F75381F91E48278EC40C513122437A48AF4336E8D2FB7DBI" TargetMode="External"/><Relationship Id="rId88" Type="http://schemas.openxmlformats.org/officeDocument/2006/relationships/hyperlink" Target="consultantplus://offline/ref=642E2B3E67CE3CA76850597E19259F17053ADE839FBD70957D611393E38D27E955D44B1F212CBA8CEC2F6C8CB2D7I" TargetMode="External"/><Relationship Id="rId91" Type="http://schemas.openxmlformats.org/officeDocument/2006/relationships/hyperlink" Target="consultantplus://offline/ref=642E2B3E67CE3CA76850466B1C259F17063CD7869BB72D9F75381F91E48278EC40C513122437A48AF4336E8D2FB7DBI" TargetMode="External"/><Relationship Id="rId96" Type="http://schemas.openxmlformats.org/officeDocument/2006/relationships/hyperlink" Target="consultantplus://offline/ref=642E2B3E67CE3CA76850587009259F170538DF879BB52D9F75381F91E48278EC52C54B1E2432BA8BF12638DC6A2736C8ADBE3FEB204FFA18BED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12AFA0FB31F7E67D486F7C215D901AB955F9F4C006EC6672BF20A7465A3CE1A75AE052AFA647A7DF18E4954FtAoCH" TargetMode="External"/><Relationship Id="rId23" Type="http://schemas.openxmlformats.org/officeDocument/2006/relationships/hyperlink" Target="consultantplus://offline/ref=12AFA0FB31F7E67D486F7C215D901AB955FAFDC605EC6672BF20A7465A3CE1A75AE052AFA647A7DF18E4954FtAoCH" TargetMode="External"/><Relationship Id="rId28" Type="http://schemas.openxmlformats.org/officeDocument/2006/relationships/hyperlink" Target="consultantplus://offline/ref=12AFA0FB31F7E67D486F7C215D901AB956FFF4C201EC6672BF20A7465A3CE1A75AE052AFA647A7DF18E4954FtAoCH" TargetMode="External"/><Relationship Id="rId36" Type="http://schemas.openxmlformats.org/officeDocument/2006/relationships/hyperlink" Target="consultantplus://offline/ref=3F574D1FB6A49AABE7899C705F32506E45E9C5D593F7335D7F8DA71ACE0C1F10593E7704A61F50B406a9H" TargetMode="External"/><Relationship Id="rId49" Type="http://schemas.openxmlformats.org/officeDocument/2006/relationships/hyperlink" Target="consultantplus://offline/ref=3F574D1FB6A49AABE7899C705F32506E45E9C3D396F6335D7F8DA71ACE00aCH" TargetMode="External"/><Relationship Id="rId57" Type="http://schemas.openxmlformats.org/officeDocument/2006/relationships/hyperlink" Target="consultantplus://offline/ref=642E2B3E67CE3CA76850587009259F17073CD58699B62D9F75381F91E48278EC40C513122437A48AF4336E8D2FB7DBI" TargetMode="External"/><Relationship Id="rId106" Type="http://schemas.openxmlformats.org/officeDocument/2006/relationships/hyperlink" Target="consultantplus://offline/ref=642E2B3E67CE3CA7685058660A49C3180035898D98B522CE2F6419C6BBD27EB912854D4B6776B78BF22D6C882D796F99ECF532ED3B53FA1FFC8D9FC0B3DBI" TargetMode="External"/><Relationship Id="rId10" Type="http://schemas.openxmlformats.org/officeDocument/2006/relationships/hyperlink" Target="consultantplus://offline/ref=12AFA0FB31F7E67D486F7C215D901AB955F9F4C006EC6672BF20A7465A3CE1A75AE052AFA647A7DF18E4954FtAoCH" TargetMode="External"/><Relationship Id="rId31" Type="http://schemas.openxmlformats.org/officeDocument/2006/relationships/hyperlink" Target="consultantplus://offline/ref=3F574D1FB6A49AABE7899C705F32506E45E1C5D395FE335D7F8DA71ACE00aCH" TargetMode="External"/><Relationship Id="rId44" Type="http://schemas.openxmlformats.org/officeDocument/2006/relationships/hyperlink" Target="consultantplus://offline/ref=3F574D1FB6A49AABE7899C705F32506E45E9C5D190F8335D7F8DA71ACE0C1F10593E7704A61F50B706a4H" TargetMode="External"/><Relationship Id="rId52" Type="http://schemas.openxmlformats.org/officeDocument/2006/relationships/hyperlink" Target="consultantplus://offline/ref=3F574D1FB6A49AABE78983655A32506E45E8C2D497F56E5777D4AB180Ca9H" TargetMode="External"/><Relationship Id="rId60" Type="http://schemas.openxmlformats.org/officeDocument/2006/relationships/hyperlink" Target="consultantplus://offline/ref=642E2B3E67CE3CA76850587009259F17063ED6809ABE2D9F75381F91E48278EC40C513122437A48AF4336E8D2FB7DBI" TargetMode="External"/><Relationship Id="rId65" Type="http://schemas.openxmlformats.org/officeDocument/2006/relationships/hyperlink" Target="consultantplus://offline/ref=642E2B3E67CE3CA76850587009259F17073FD3889CB02D9F75381F91E48278EC40C513122437A48AF4336E8D2FB7DBI" TargetMode="External"/><Relationship Id="rId73" Type="http://schemas.openxmlformats.org/officeDocument/2006/relationships/hyperlink" Target="consultantplus://offline/ref=642E2B3E67CE3CA7685058660A49C3180035898D98B522CE206F19C6BBD27EB912854D4B7576EF87F228728D286C39C8A9BAD9I" TargetMode="External"/><Relationship Id="rId78" Type="http://schemas.openxmlformats.org/officeDocument/2006/relationships/hyperlink" Target="consultantplus://offline/ref=642E2B3E67CE3CA76850597E19259F170639D18192E07A9D246D1194ECD222FC448C461A3A32BC94F02D6DB8D4I" TargetMode="External"/><Relationship Id="rId81" Type="http://schemas.openxmlformats.org/officeDocument/2006/relationships/hyperlink" Target="consultantplus://offline/ref=642E2B3E67CE3CA76850466B1C259F170638D48291B12D9F75381F91E48278EC40C513122437A48AF4336E8D2FB7DBI" TargetMode="External"/><Relationship Id="rId86" Type="http://schemas.openxmlformats.org/officeDocument/2006/relationships/hyperlink" Target="consultantplus://offline/ref=642E2B3E67CE3CA76850597E19259F17063CDE8198BD70957D611393E38D27E955D44B1F212CBA8CEC2F6C8CB2D7I" TargetMode="External"/><Relationship Id="rId94" Type="http://schemas.openxmlformats.org/officeDocument/2006/relationships/hyperlink" Target="consultantplus://offline/ref=642E2B3E67CE3CA76850587009259F17053FD4809EBE2D9F75381F91E48278EC52C54B1E2432BA8BF12638DC6A2736C8ADBE3FEB204FFA18BEDBI" TargetMode="External"/><Relationship Id="rId99" Type="http://schemas.openxmlformats.org/officeDocument/2006/relationships/hyperlink" Target="consultantplus://offline/ref=642E2B3E67CE3CA76850587009259F170636DE849CB02D9F75381F91E48278EC52C54B1E2432BA8AFA2638DC6A2736C8ADBE3FEB204FFA18BEDBI" TargetMode="External"/><Relationship Id="rId101" Type="http://schemas.openxmlformats.org/officeDocument/2006/relationships/hyperlink" Target="consultantplus://offline/ref=642E2B3E67CE3CA76850587009259F170539D28999B22D9F75381F91E48278EC52C54B1E2432BA8BF02638DC6A2736C8ADBE3FEB204FFA18BED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AFA0FB31F7E67D486F7C215D901AB955FAFDC605EC6672BF20A7465A3CE1A75AE052AFA647A7DF18E4954FtAoCH" TargetMode="External"/><Relationship Id="rId13" Type="http://schemas.openxmlformats.org/officeDocument/2006/relationships/hyperlink" Target="consultantplus://offline/ref=12AFA0FB31F7E67D486F7D394EFC46B653F0A3CC06E43429ED25AD130263B8F71DB154FBE01DAAD806E6954AA361ED44F3114ECE355AFB17D515D68BtAoDH" TargetMode="External"/><Relationship Id="rId18" Type="http://schemas.openxmlformats.org/officeDocument/2006/relationships/hyperlink" Target="consultantplus://offline/ref=12AFA0FB31F7E67D486F7C215D901AB955FCFBC00CB16C7AE62CA5415563E4B24BB85FAABD59A1C704E694t4o7H" TargetMode="External"/><Relationship Id="rId39" Type="http://schemas.openxmlformats.org/officeDocument/2006/relationships/hyperlink" Target="consultantplus://offline/ref=3F574D1FB6A49AABE7899C705F32506E45E1C5D395FE335D7F8DA71ACE00aCH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3F574D1FB6A49AABE7899C705F32506E45E1C5D395FE335D7F8DA71ACE00aCH" TargetMode="External"/><Relationship Id="rId50" Type="http://schemas.openxmlformats.org/officeDocument/2006/relationships/hyperlink" Target="consultantplus://offline/ref=3F574D1FB6A49AABE7899C705F32506E45E8C0D19CF8335D7F8DA71ACE0C1F10593E7704A61F50B406a8H" TargetMode="External"/><Relationship Id="rId55" Type="http://schemas.openxmlformats.org/officeDocument/2006/relationships/hyperlink" Target="consultantplus://offline/ref=3F574D1FB6A49AABE7899C705F32506E45EBC0D792FE335D7F8DA71ACE0C1F10593E7704A61F55B406a8H" TargetMode="External"/><Relationship Id="rId76" Type="http://schemas.openxmlformats.org/officeDocument/2006/relationships/hyperlink" Target="consultantplus://offline/ref=642E2B3E67CE3CA76850597E19259F170738D68BCFEA72C4286F169BB3D737ED1C8143012434A488F22CB6D5I" TargetMode="External"/><Relationship Id="rId97" Type="http://schemas.openxmlformats.org/officeDocument/2006/relationships/hyperlink" Target="consultantplus://offline/ref=642E2B3E67CE3CA7685058660A49C3180035898D98B522CE2F6419C6BBD27EB912854D4B6776B78BF22D6C882E796F99ECF532ED3B53FA1FFC8D9FC0B3DBI" TargetMode="External"/><Relationship Id="rId104" Type="http://schemas.openxmlformats.org/officeDocument/2006/relationships/hyperlink" Target="consultantplus://offline/ref=642E2B3E67CE3CA7685058660A49C3180035898D98B522CE2F6419C6BBD27EB912854D4B6776B78BF22D6C882F796F99ECF532ED3B53FA1FFC8D9FC0B3DBI" TargetMode="Externa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642E2B3E67CE3CA7685058660A49C3180035898D98B522CE2F6419C6BBD27EB912854D4B6776B78BF22D6C8926796F99ECF532ED3B53FA1FFC8D9FC0B3DBI" TargetMode="External"/><Relationship Id="rId92" Type="http://schemas.openxmlformats.org/officeDocument/2006/relationships/hyperlink" Target="consultantplus://offline/ref=642E2B3E67CE3CA76850587009259F17053FD5849BBE2D9F75381F91E48278EC52C54B1E2432BA8BF62638DC6A2736C8ADBE3FEB204FFA18BED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7300C-CEFA-48C8-9090-DC0267E3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26</Pages>
  <Words>10445</Words>
  <Characters>59538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Teikovo</cp:lastModifiedBy>
  <cp:revision>44</cp:revision>
  <cp:lastPrinted>2019-06-14T12:42:00Z</cp:lastPrinted>
  <dcterms:created xsi:type="dcterms:W3CDTF">2019-05-30T13:30:00Z</dcterms:created>
  <dcterms:modified xsi:type="dcterms:W3CDTF">2019-08-29T14:20:00Z</dcterms:modified>
</cp:coreProperties>
</file>