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9E" w:rsidRDefault="00621F9E" w:rsidP="00621F9E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621F9E" w:rsidRDefault="00621F9E" w:rsidP="00621F9E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621F9E" w:rsidRDefault="00621F9E" w:rsidP="00621F9E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621F9E" w:rsidRDefault="00621F9E" w:rsidP="00621F9E">
      <w:pPr>
        <w:rPr>
          <w:b/>
          <w:bCs/>
        </w:rPr>
      </w:pPr>
    </w:p>
    <w:p w:rsidR="00621F9E" w:rsidRDefault="00621F9E" w:rsidP="00621F9E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21F9E" w:rsidRDefault="00621F9E" w:rsidP="00621F9E">
      <w:pPr>
        <w:jc w:val="both"/>
      </w:pPr>
    </w:p>
    <w:p w:rsidR="00621F9E" w:rsidRDefault="00621F9E" w:rsidP="00621F9E">
      <w:pPr>
        <w:jc w:val="center"/>
      </w:pPr>
      <w:r>
        <w:t xml:space="preserve">   от  29.01.2018           № 73                            </w:t>
      </w:r>
    </w:p>
    <w:p w:rsidR="00621F9E" w:rsidRDefault="00621F9E" w:rsidP="00621F9E">
      <w:pPr>
        <w:jc w:val="center"/>
      </w:pPr>
      <w:r>
        <w:t>г. Тейково</w:t>
      </w:r>
    </w:p>
    <w:p w:rsidR="00621F9E" w:rsidRDefault="00621F9E" w:rsidP="00621F9E"/>
    <w:p w:rsidR="00621F9E" w:rsidRDefault="00621F9E" w:rsidP="00621F9E"/>
    <w:p w:rsidR="00621F9E" w:rsidRDefault="00621F9E" w:rsidP="00621F9E">
      <w:pPr>
        <w:pStyle w:val="a9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«Культура  Тейковского муниципального района» (в действующей редакции)</w:t>
      </w:r>
    </w:p>
    <w:p w:rsidR="00621F9E" w:rsidRDefault="00621F9E" w:rsidP="00621F9E">
      <w:pPr>
        <w:pStyle w:val="a9"/>
        <w:rPr>
          <w:b/>
        </w:rPr>
      </w:pPr>
    </w:p>
    <w:p w:rsidR="00621F9E" w:rsidRDefault="00621F9E" w:rsidP="00621F9E">
      <w:pPr>
        <w:pStyle w:val="a9"/>
        <w:rPr>
          <w:b/>
        </w:rPr>
      </w:pPr>
    </w:p>
    <w:p w:rsidR="00621F9E" w:rsidRDefault="00621F9E" w:rsidP="00621F9E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621F9E" w:rsidRDefault="00621F9E" w:rsidP="00621F9E">
      <w:pPr>
        <w:ind w:firstLine="708"/>
        <w:jc w:val="both"/>
      </w:pPr>
    </w:p>
    <w:p w:rsidR="00621F9E" w:rsidRDefault="00621F9E" w:rsidP="00621F9E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621F9E" w:rsidRDefault="00621F9E" w:rsidP="00621F9E">
      <w:pPr>
        <w:ind w:firstLine="360"/>
        <w:jc w:val="center"/>
        <w:rPr>
          <w:b/>
        </w:rPr>
      </w:pPr>
    </w:p>
    <w:p w:rsidR="00621F9E" w:rsidRDefault="00621F9E" w:rsidP="00621F9E">
      <w:pPr>
        <w:ind w:firstLine="708"/>
        <w:jc w:val="both"/>
      </w:pPr>
      <w:r>
        <w:t>Внести в  постановление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621F9E" w:rsidRDefault="00621F9E" w:rsidP="00621F9E">
      <w:pPr>
        <w:ind w:firstLine="360"/>
        <w:jc w:val="both"/>
      </w:pPr>
      <w:r>
        <w:t>в приложении к постановлению:</w:t>
      </w:r>
    </w:p>
    <w:p w:rsidR="00621F9E" w:rsidRDefault="00621F9E" w:rsidP="00621F9E">
      <w:pPr>
        <w:ind w:firstLine="360"/>
        <w:jc w:val="both"/>
      </w:pPr>
      <w:r>
        <w:t xml:space="preserve">1. Раздел «1.Паспорт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621F9E" w:rsidRDefault="00621F9E" w:rsidP="00621F9E">
      <w:pPr>
        <w:ind w:firstLine="360"/>
        <w:jc w:val="both"/>
      </w:pPr>
      <w:r>
        <w:t>1.1. Таблицу 2.«Сведения о целевых индикаторах (показателях) реализации Программы» изложить в новой редакции согласно приложению 2.</w:t>
      </w:r>
    </w:p>
    <w:p w:rsidR="00621F9E" w:rsidRDefault="00621F9E" w:rsidP="00621F9E">
      <w:pPr>
        <w:ind w:firstLine="360"/>
        <w:jc w:val="both"/>
      </w:pPr>
      <w:r>
        <w:t>1.2.  В пункте «Обоснование выделения подпрограмм»:</w:t>
      </w:r>
    </w:p>
    <w:p w:rsidR="00621F9E" w:rsidRDefault="00621F9E" w:rsidP="00621F9E">
      <w:pPr>
        <w:ind w:firstLine="360"/>
        <w:jc w:val="both"/>
      </w:pPr>
      <w:r>
        <w:t>-  слова «…посредством 2 аналитических подпрограмм» заменить словами  «…посредством 2 подпрограмм»;</w:t>
      </w:r>
    </w:p>
    <w:p w:rsidR="00621F9E" w:rsidRDefault="00621F9E" w:rsidP="00621F9E">
      <w:pPr>
        <w:jc w:val="both"/>
      </w:pPr>
      <w:r>
        <w:t>- слова «Аналитические подпрограммы…» заменить словом  «Подпрограммы…»;</w:t>
      </w:r>
    </w:p>
    <w:p w:rsidR="00621F9E" w:rsidRDefault="00621F9E" w:rsidP="00621F9E">
      <w:pPr>
        <w:jc w:val="both"/>
      </w:pPr>
      <w:r>
        <w:t>- слова «… (срок реализации -2014-2018гг.)…» заменить словами «…(срок реализации - 2014 – 2020гг.)…».</w:t>
      </w:r>
    </w:p>
    <w:p w:rsidR="00621F9E" w:rsidRDefault="00621F9E" w:rsidP="00621F9E">
      <w:pPr>
        <w:ind w:firstLine="360"/>
        <w:jc w:val="both"/>
      </w:pPr>
      <w:r>
        <w:rPr>
          <w:bCs/>
        </w:rPr>
        <w:t xml:space="preserve">2. </w:t>
      </w:r>
      <w:r>
        <w:t xml:space="preserve">Раздел «4. Ресурсное обеспечение  программы «Культура Тейковского муниципального района» изложить в новой редакции согласно приложению 3. </w:t>
      </w:r>
    </w:p>
    <w:p w:rsidR="00621F9E" w:rsidRDefault="00621F9E" w:rsidP="00621F9E">
      <w:pPr>
        <w:ind w:firstLine="360"/>
        <w:jc w:val="both"/>
      </w:pPr>
      <w:r>
        <w:t>3. В Приложении 1 к муниципальной программе «Культура Тейковского муниципального района»:</w:t>
      </w:r>
    </w:p>
    <w:p w:rsidR="00621F9E" w:rsidRDefault="00621F9E" w:rsidP="00621F9E">
      <w:pPr>
        <w:jc w:val="both"/>
      </w:pPr>
      <w:r>
        <w:t xml:space="preserve">     3.1. Раздел «Паспорт подпрограммы» изложить в новой редакции согласно приложению 4.</w:t>
      </w:r>
    </w:p>
    <w:p w:rsidR="00621F9E" w:rsidRDefault="00621F9E" w:rsidP="00621F9E">
      <w:pPr>
        <w:ind w:firstLine="360"/>
        <w:jc w:val="both"/>
      </w:pPr>
      <w:r>
        <w:t>3.2. В разделе «Ожидаемые результаты реализации подпрограммы»:</w:t>
      </w:r>
    </w:p>
    <w:p w:rsidR="00621F9E" w:rsidRDefault="00621F9E" w:rsidP="00621F9E">
      <w:pPr>
        <w:ind w:firstLine="360"/>
        <w:jc w:val="both"/>
      </w:pPr>
      <w:r>
        <w:t>- слова  «… с 18% (в 2012 году) до 47% к 2018 году» заменить  словами: «… с 18% (в 2012 году) до 47% к 2020 году»;</w:t>
      </w:r>
    </w:p>
    <w:p w:rsidR="00621F9E" w:rsidRDefault="00621F9E" w:rsidP="00621F9E">
      <w:pPr>
        <w:ind w:firstLine="360"/>
        <w:jc w:val="both"/>
      </w:pPr>
      <w:r>
        <w:t>- слова «… в 2014-2018 годах…» заменить словами: «…в 2014-2020 годах…».</w:t>
      </w:r>
    </w:p>
    <w:p w:rsidR="00621F9E" w:rsidRDefault="00621F9E" w:rsidP="00621F9E">
      <w:pPr>
        <w:ind w:firstLine="360"/>
        <w:jc w:val="both"/>
      </w:pPr>
      <w:r>
        <w:t>3.3. Таблицу «Целевые индикаторы (показатели) реализации подпрограммы» изложить в новой редакции согласно приложению 5.</w:t>
      </w:r>
    </w:p>
    <w:p w:rsidR="00621F9E" w:rsidRDefault="00621F9E" w:rsidP="00621F9E">
      <w:pPr>
        <w:ind w:firstLine="360"/>
        <w:jc w:val="both"/>
      </w:pPr>
      <w:r>
        <w:t xml:space="preserve">3.4. В разделе «Мероприятия подпрограммы»: </w:t>
      </w:r>
    </w:p>
    <w:p w:rsidR="00621F9E" w:rsidRDefault="00621F9E" w:rsidP="00621F9E">
      <w:pPr>
        <w:ind w:firstLine="360"/>
        <w:jc w:val="both"/>
      </w:pPr>
      <w:r>
        <w:lastRenderedPageBreak/>
        <w:t xml:space="preserve">- слова «Исполнителем мероприятий подпрограммы выступает муниципальное казенное учреждение Тейковского муниципального района «Межпоселенческое социально-культурное объединение». Срок реализации мероприятий 2014-2018гг.» заменить словами: «Исполнителем мероприятий подпрограммы выступает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объединение». Срок реализации мероприятий 2014-2020гг.» </w:t>
      </w:r>
    </w:p>
    <w:p w:rsidR="00621F9E" w:rsidRDefault="00621F9E" w:rsidP="00621F9E">
      <w:pPr>
        <w:ind w:firstLine="360"/>
        <w:jc w:val="both"/>
      </w:pPr>
      <w:r>
        <w:t>3.5.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6.</w:t>
      </w:r>
    </w:p>
    <w:p w:rsidR="00621F9E" w:rsidRDefault="00621F9E" w:rsidP="00621F9E">
      <w:pPr>
        <w:ind w:firstLine="360"/>
        <w:jc w:val="both"/>
      </w:pPr>
      <w:r>
        <w:t>4. В Приложении 2 к  муниципальной программе «Культура Тейковского муниципального района»:</w:t>
      </w:r>
    </w:p>
    <w:p w:rsidR="00621F9E" w:rsidRDefault="00621F9E" w:rsidP="00621F9E">
      <w:pPr>
        <w:ind w:firstLine="360"/>
        <w:jc w:val="both"/>
      </w:pPr>
      <w:r>
        <w:t>4.1. Раздел «Паспорт подпрограммы» изложить в новой редакции согласно приложению 7.</w:t>
      </w:r>
    </w:p>
    <w:p w:rsidR="00621F9E" w:rsidRDefault="00621F9E" w:rsidP="00621F9E">
      <w:pPr>
        <w:ind w:firstLine="360"/>
        <w:jc w:val="both"/>
      </w:pPr>
      <w:r>
        <w:t>4.2. В разделе «Ожидаемые результаты реализации подпрограммы» слова «Реализация подпрограммы в 2014-2018 годах предполагает» заменить  словами: «Реализация подпрограммы в 2014-2020 годах предполагает».</w:t>
      </w:r>
    </w:p>
    <w:p w:rsidR="00621F9E" w:rsidRDefault="00621F9E" w:rsidP="00621F9E">
      <w:pPr>
        <w:ind w:firstLine="360"/>
        <w:jc w:val="both"/>
      </w:pPr>
      <w:r>
        <w:t>4.3. Таблицу «Целевые индикаторы (показатели) реализации подпрограммы» изложить в новой редакции согласно приложению 8.</w:t>
      </w:r>
    </w:p>
    <w:p w:rsidR="00621F9E" w:rsidRDefault="00621F9E" w:rsidP="00621F9E">
      <w:pPr>
        <w:ind w:firstLine="360"/>
        <w:jc w:val="both"/>
      </w:pPr>
      <w:r>
        <w:t>4.4. В разделе «Мероприятия подпрограммы» слова: «Исполнителем мероприятий подпрограммы выступает муниципальное казенное образовательное учреждение дополнительного образования детей Тейковского муниципального района  Новогоряновская детская школа искусств. Срок реализации мероприятий  2014-2018гг» заменить  словами: «Исполнителем мероприятий подпрограммы выступает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 «Новогоряновская детская школа искусств». Срок реализации мероприятий  2014-2020гг».</w:t>
      </w:r>
    </w:p>
    <w:p w:rsidR="00621F9E" w:rsidRDefault="00621F9E" w:rsidP="00621F9E">
      <w:pPr>
        <w:ind w:firstLine="360"/>
        <w:jc w:val="both"/>
      </w:pPr>
      <w:r>
        <w:t>4.5.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9.</w:t>
      </w:r>
    </w:p>
    <w:p w:rsidR="00621F9E" w:rsidRDefault="00621F9E" w:rsidP="00621F9E">
      <w:pPr>
        <w:ind w:firstLine="360"/>
        <w:jc w:val="both"/>
        <w:rPr>
          <w:b/>
        </w:rPr>
      </w:pPr>
    </w:p>
    <w:p w:rsidR="00621F9E" w:rsidRDefault="00621F9E" w:rsidP="00621F9E">
      <w:pPr>
        <w:ind w:firstLine="360"/>
        <w:jc w:val="both"/>
        <w:rPr>
          <w:b/>
        </w:rPr>
      </w:pPr>
    </w:p>
    <w:p w:rsidR="00621F9E" w:rsidRDefault="00621F9E" w:rsidP="00621F9E">
      <w:pPr>
        <w:ind w:firstLine="360"/>
        <w:jc w:val="both"/>
      </w:pPr>
      <w:r>
        <w:rPr>
          <w:b/>
        </w:rPr>
        <w:t>Глава Тейковского</w:t>
      </w:r>
    </w:p>
    <w:p w:rsidR="00621F9E" w:rsidRDefault="00621F9E" w:rsidP="00621F9E">
      <w:pPr>
        <w:jc w:val="both"/>
        <w:rPr>
          <w:b/>
        </w:rPr>
      </w:pPr>
      <w:r>
        <w:rPr>
          <w:b/>
        </w:rPr>
        <w:t xml:space="preserve">     муниципального района                                                        С.А. Семенова</w:t>
      </w: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  <w:r>
        <w:t>Приложение 1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от   29.01.2018  №73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621F9E" w:rsidTr="00621F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a"/>
              <w:numPr>
                <w:ilvl w:val="0"/>
                <w:numId w:val="2"/>
              </w:numPr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Культура 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«Межпоселенческое социально-культурное объединение»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«Новогоряновская детская школа искусств»</w:t>
            </w: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1. «Развитие культуры  Тейковского муниципального района»</w:t>
            </w:r>
          </w:p>
          <w:p w:rsidR="00621F9E" w:rsidRDefault="00621F9E">
            <w:pPr>
              <w:pStyle w:val="a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2.Сохранение культурного и исторического наследия  Тейковского муниципального района.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Укрепление  материально-технической базы муниципальных учреждений культуры.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621F9E" w:rsidTr="00621F9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2014г. - 8964,3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- 6740,9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2017г.-  9561,4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2018г.-10514,6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8155,6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 8155,6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6377,8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8429,6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8312,5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- 8152,5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2020г. - 8152,5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- 1028,7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- 2199,1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0,0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3,0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3,1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 . -      3,1 тыс. рублей.</w:t>
            </w:r>
          </w:p>
        </w:tc>
      </w:tr>
    </w:tbl>
    <w:p w:rsidR="00621F9E" w:rsidRDefault="00621F9E" w:rsidP="00621F9E"/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pPr>
        <w:jc w:val="center"/>
      </w:pPr>
    </w:p>
    <w:p w:rsidR="00621F9E" w:rsidRDefault="00621F9E" w:rsidP="00621F9E">
      <w:r>
        <w:t xml:space="preserve">                                           </w:t>
      </w:r>
    </w:p>
    <w:p w:rsidR="00621F9E" w:rsidRDefault="00621F9E" w:rsidP="00621F9E">
      <w:r>
        <w:t xml:space="preserve">                                                                                                                            </w:t>
      </w:r>
    </w:p>
    <w:p w:rsidR="00621F9E" w:rsidRDefault="00621F9E" w:rsidP="00621F9E">
      <w:pPr>
        <w:jc w:val="right"/>
      </w:pPr>
    </w:p>
    <w:p w:rsidR="00621F9E" w:rsidRDefault="00621F9E" w:rsidP="00621F9E">
      <w:r>
        <w:t xml:space="preserve">                                                                                                                                 Приложение 2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от    29.01.2018   № 73</w:t>
      </w:r>
    </w:p>
    <w:p w:rsidR="00621F9E" w:rsidRDefault="00621F9E" w:rsidP="00621F9E"/>
    <w:p w:rsidR="00621F9E" w:rsidRDefault="00621F9E" w:rsidP="00621F9E">
      <w:r>
        <w:t>Таблица 2.Сведения о целевых индикаторах (показателях) реализации Программы</w:t>
      </w:r>
    </w:p>
    <w:tbl>
      <w:tblPr>
        <w:tblpPr w:leftFromText="180" w:rightFromText="180" w:bottomFromText="200" w:vertAnchor="text" w:horzAnchor="margin" w:tblpXSpec="center" w:tblpY="371"/>
        <w:tblOverlap w:val="never"/>
        <w:tblW w:w="0" w:type="dxa"/>
        <w:tblLayout w:type="fixed"/>
        <w:tblLook w:val="00A0" w:firstRow="1" w:lastRow="0" w:firstColumn="1" w:lastColumn="0" w:noHBand="0" w:noVBand="0"/>
      </w:tblPr>
      <w:tblGrid>
        <w:gridCol w:w="483"/>
        <w:gridCol w:w="2744"/>
        <w:gridCol w:w="1276"/>
        <w:gridCol w:w="850"/>
        <w:gridCol w:w="851"/>
        <w:gridCol w:w="850"/>
        <w:gridCol w:w="851"/>
        <w:gridCol w:w="850"/>
        <w:gridCol w:w="851"/>
        <w:gridCol w:w="896"/>
      </w:tblGrid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внедрены информационно-коммуникационные технологии для </w:t>
            </w:r>
            <w:r>
              <w:rPr>
                <w:color w:val="000000"/>
                <w:lang w:eastAsia="en-US"/>
              </w:rPr>
              <w:lastRenderedPageBreak/>
              <w:t xml:space="preserve">доступности информации об услугах сферы культуры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посетителей фестивалей, конкурсов, проектов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 человек</w:t>
            </w:r>
          </w:p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повысивших квалификацию и получивших методическую помощь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621F9E" w:rsidTr="00621F9E">
        <w:trPr>
          <w:trHeight w:val="1"/>
        </w:trPr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621F9E" w:rsidRDefault="00621F9E" w:rsidP="00621F9E"/>
    <w:p w:rsidR="00621F9E" w:rsidRDefault="00621F9E" w:rsidP="00621F9E"/>
    <w:p w:rsidR="00621F9E" w:rsidRDefault="00621F9E" w:rsidP="00621F9E">
      <w:r>
        <w:t xml:space="preserve">                                                                                                                             </w:t>
      </w:r>
    </w:p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>
      <w:r>
        <w:t xml:space="preserve">                                                                                                                                 Приложение 3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от   29.01.2018   №73 </w:t>
      </w:r>
    </w:p>
    <w:p w:rsidR="00621F9E" w:rsidRDefault="00621F9E" w:rsidP="00621F9E">
      <w:pPr>
        <w:pStyle w:val="1"/>
        <w:jc w:val="both"/>
      </w:pPr>
    </w:p>
    <w:p w:rsidR="00621F9E" w:rsidRDefault="00621F9E" w:rsidP="00621F9E">
      <w:pPr>
        <w:pStyle w:val="a9"/>
        <w:ind w:firstLine="708"/>
        <w:jc w:val="center"/>
        <w:rPr>
          <w:b/>
        </w:rPr>
      </w:pPr>
      <w:r>
        <w:rPr>
          <w:b/>
          <w:bCs/>
        </w:rPr>
        <w:t xml:space="preserve">4. Ресурсное обеспечение  программы «Культура </w:t>
      </w:r>
      <w:r>
        <w:rPr>
          <w:b/>
        </w:rPr>
        <w:t>Тейковского муниципального района»</w:t>
      </w:r>
    </w:p>
    <w:p w:rsidR="00621F9E" w:rsidRDefault="00621F9E" w:rsidP="00621F9E">
      <w:pPr>
        <w:jc w:val="right"/>
      </w:pPr>
      <w:r>
        <w:t xml:space="preserve">         тыс. руб.</w:t>
      </w:r>
    </w:p>
    <w:tbl>
      <w:tblPr>
        <w:tblW w:w="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3"/>
        <w:gridCol w:w="1134"/>
        <w:gridCol w:w="992"/>
        <w:gridCol w:w="992"/>
        <w:gridCol w:w="993"/>
        <w:gridCol w:w="1134"/>
        <w:gridCol w:w="992"/>
        <w:gridCol w:w="992"/>
      </w:tblGrid>
      <w:tr w:rsidR="00621F9E" w:rsidTr="00621F9E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10514,6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10514,6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1028,7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2199,1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8155,6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</w:tbl>
    <w:p w:rsidR="00621F9E" w:rsidRDefault="00621F9E" w:rsidP="00621F9E"/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/>
    <w:p w:rsidR="00621F9E" w:rsidRDefault="00621F9E" w:rsidP="00621F9E"/>
    <w:p w:rsidR="00621F9E" w:rsidRDefault="00621F9E" w:rsidP="00621F9E">
      <w:pPr>
        <w:jc w:val="right"/>
      </w:pPr>
      <w:r>
        <w:t>Приложение 4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от    29.01.2018      №73 </w:t>
      </w:r>
    </w:p>
    <w:p w:rsidR="00621F9E" w:rsidRDefault="00621F9E" w:rsidP="00621F9E">
      <w:pPr>
        <w:pStyle w:val="a9"/>
        <w:rPr>
          <w:b/>
        </w:rPr>
      </w:pPr>
    </w:p>
    <w:p w:rsidR="00621F9E" w:rsidRDefault="00621F9E" w:rsidP="00621F9E">
      <w:pPr>
        <w:pStyle w:val="a9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p w:rsidR="00621F9E" w:rsidRDefault="00621F9E" w:rsidP="00621F9E">
      <w:pPr>
        <w:pStyle w:val="a9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 Тейковского муниципального района»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 Тейковского муниципального района «Межпоселенческое социально-культурное объединение»</w:t>
            </w: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8670,9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- 6657,8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- 6657,8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3,0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3,1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3,1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.- 2251,5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.- 2013,2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     0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lastRenderedPageBreak/>
                <w:t>2017 г</w:t>
              </w:r>
            </w:smartTag>
            <w:r>
              <w:rPr>
                <w:lang w:eastAsia="en-US"/>
              </w:rPr>
              <w:t>.-  6913,8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6654,7 тыс. рублей,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- 6654,7 тыс. рублей.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рублей.</w:t>
            </w:r>
          </w:p>
        </w:tc>
      </w:tr>
    </w:tbl>
    <w:p w:rsidR="00621F9E" w:rsidRDefault="00621F9E" w:rsidP="00621F9E">
      <w:pPr>
        <w:pStyle w:val="Pro-Gramma"/>
        <w:ind w:left="0"/>
        <w:rPr>
          <w:rFonts w:ascii="Times New Roman" w:hAnsi="Times New Roman"/>
          <w:szCs w:val="24"/>
        </w:rPr>
      </w:pPr>
    </w:p>
    <w:p w:rsidR="00621F9E" w:rsidRDefault="00621F9E" w:rsidP="00621F9E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5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от  29.01.2018       № 73</w:t>
      </w: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25"/>
        <w:gridCol w:w="2695"/>
        <w:gridCol w:w="851"/>
        <w:gridCol w:w="851"/>
        <w:gridCol w:w="850"/>
        <w:gridCol w:w="851"/>
        <w:gridCol w:w="850"/>
        <w:gridCol w:w="851"/>
        <w:gridCol w:w="850"/>
        <w:gridCol w:w="925"/>
        <w:gridCol w:w="918"/>
      </w:tblGrid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50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 вовлеченного в культурно-массовые и досуговые мероприятия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</w:t>
            </w:r>
          </w:p>
          <w:p w:rsidR="00621F9E" w:rsidRDefault="00621F9E">
            <w:pPr>
              <w:pStyle w:val="a9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повысивших квалификацию </w:t>
            </w:r>
          </w:p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 получивших методическую помощь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621F9E" w:rsidTr="00621F9E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621F9E" w:rsidRDefault="00621F9E" w:rsidP="00621F9E">
      <w:pPr>
        <w:pStyle w:val="Pro-Gramma"/>
        <w:ind w:left="0"/>
        <w:rPr>
          <w:rFonts w:ascii="Times New Roman" w:hAnsi="Times New Roman"/>
          <w:szCs w:val="24"/>
        </w:rPr>
      </w:pPr>
    </w:p>
    <w:p w:rsidR="00621F9E" w:rsidRDefault="00621F9E" w:rsidP="00621F9E">
      <w:pPr>
        <w:pStyle w:val="Pro-Gramma"/>
        <w:ind w:left="0"/>
        <w:rPr>
          <w:rFonts w:ascii="Times New Roman" w:hAnsi="Times New Roman"/>
          <w:szCs w:val="24"/>
        </w:rPr>
      </w:pPr>
    </w:p>
    <w:p w:rsidR="00621F9E" w:rsidRDefault="00621F9E" w:rsidP="00621F9E">
      <w:pPr>
        <w:pStyle w:val="Pro-Gramma"/>
        <w:ind w:left="0"/>
        <w:rPr>
          <w:rFonts w:ascii="Times New Roman" w:hAnsi="Times New Roman"/>
          <w:szCs w:val="24"/>
        </w:rPr>
      </w:pPr>
    </w:p>
    <w:p w:rsidR="00621F9E" w:rsidRDefault="00621F9E" w:rsidP="00621F9E">
      <w:pPr>
        <w:pStyle w:val="Pro-Gramma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Приложение 6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от   29.01.2018   №73 </w:t>
      </w:r>
    </w:p>
    <w:p w:rsidR="00621F9E" w:rsidRDefault="00621F9E" w:rsidP="00621F9E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621F9E" w:rsidRDefault="00621F9E" w:rsidP="00621F9E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621F9E" w:rsidRDefault="00621F9E" w:rsidP="00621F9E">
      <w:pPr>
        <w:jc w:val="right"/>
      </w:pPr>
      <w: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992"/>
        <w:gridCol w:w="992"/>
        <w:gridCol w:w="993"/>
        <w:gridCol w:w="992"/>
        <w:gridCol w:w="992"/>
        <w:gridCol w:w="992"/>
        <w:gridCol w:w="993"/>
      </w:tblGrid>
      <w:tr w:rsidR="00621F9E" w:rsidTr="00621F9E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621F9E" w:rsidRDefault="00621F9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отдельным  категориям  работников учреждений культуры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/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  <w:r>
        <w:t>Приложение 7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 от   29.01.2018     № 73                                                                                                                                   </w:t>
      </w:r>
    </w:p>
    <w:p w:rsidR="00621F9E" w:rsidRDefault="00621F9E" w:rsidP="00621F9E">
      <w:pPr>
        <w:pStyle w:val="a9"/>
        <w:jc w:val="center"/>
        <w:rPr>
          <w:b/>
        </w:rPr>
      </w:pPr>
    </w:p>
    <w:p w:rsidR="00621F9E" w:rsidRDefault="00621F9E" w:rsidP="00621F9E">
      <w:pPr>
        <w:pStyle w:val="a9"/>
        <w:jc w:val="center"/>
        <w:rPr>
          <w:b/>
        </w:rPr>
      </w:pPr>
      <w:r>
        <w:rPr>
          <w:b/>
        </w:rPr>
        <w:t>Паспорт подпрограммы</w:t>
      </w:r>
    </w:p>
    <w:p w:rsidR="00621F9E" w:rsidRDefault="00621F9E" w:rsidP="00621F9E">
      <w:pPr>
        <w:pStyle w:val="a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621F9E" w:rsidRDefault="00621F9E">
            <w:pPr>
              <w:pStyle w:val="Pro-TabName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 учреждение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621F9E" w:rsidTr="00621F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1675,4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1492,5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1593,9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г.- 1843,7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г.- 1497,8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-1497,8 тыс. рублей.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г.-   335,0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  346,1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   79,7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    78,1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  185,9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г.-       0,0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г.-       0,0 тыс. рублей.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 г.-  1402,6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г.-  1329,3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г.-  1412,8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 г.-  1515,8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г.-  1657,8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- 1497,8 тыс. рублей,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 - 1497,8 тыс. рублей.</w:t>
            </w:r>
          </w:p>
        </w:tc>
      </w:tr>
    </w:tbl>
    <w:p w:rsidR="00621F9E" w:rsidRDefault="00621F9E" w:rsidP="00621F9E">
      <w:pPr>
        <w:pStyle w:val="ConsPlusTitle"/>
        <w:widowControl/>
        <w:jc w:val="both"/>
        <w:outlineLvl w:val="0"/>
        <w:rPr>
          <w:b w:val="0"/>
        </w:rPr>
      </w:pPr>
    </w:p>
    <w:p w:rsidR="00621F9E" w:rsidRDefault="00621F9E" w:rsidP="00621F9E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621F9E" w:rsidRDefault="00621F9E" w:rsidP="00621F9E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621F9E" w:rsidRDefault="00621F9E" w:rsidP="00621F9E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  <w:r>
        <w:t>Приложение 8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 от   29.01.2018   № 73                                                                                                                                                                                                                          </w:t>
      </w: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rPr>
          <w:b/>
          <w:bCs/>
        </w:rPr>
      </w:pP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p w:rsidR="00621F9E" w:rsidRDefault="00621F9E" w:rsidP="00621F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559"/>
        <w:gridCol w:w="992"/>
        <w:gridCol w:w="851"/>
        <w:gridCol w:w="850"/>
        <w:gridCol w:w="851"/>
        <w:gridCol w:w="850"/>
        <w:gridCol w:w="851"/>
        <w:gridCol w:w="850"/>
      </w:tblGrid>
      <w:tr w:rsidR="00621F9E" w:rsidTr="00621F9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621F9E" w:rsidTr="00621F9E">
        <w:trPr>
          <w:trHeight w:val="1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участия в фестивалях, конкурсах</w:t>
            </w:r>
            <w:r>
              <w:rPr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1F9E" w:rsidRDefault="00621F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621F9E" w:rsidRDefault="00621F9E" w:rsidP="00621F9E">
      <w:pPr>
        <w:ind w:left="-567" w:firstLine="567"/>
      </w:pPr>
    </w:p>
    <w:p w:rsidR="00621F9E" w:rsidRDefault="00621F9E" w:rsidP="00621F9E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621F9E" w:rsidRDefault="00621F9E" w:rsidP="00621F9E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621F9E" w:rsidRDefault="00621F9E" w:rsidP="00621F9E"/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</w:p>
    <w:p w:rsidR="00621F9E" w:rsidRDefault="00621F9E" w:rsidP="00621F9E">
      <w:pPr>
        <w:jc w:val="right"/>
      </w:pPr>
      <w:r>
        <w:t>Приложение 9</w:t>
      </w:r>
    </w:p>
    <w:p w:rsidR="00621F9E" w:rsidRDefault="00621F9E" w:rsidP="00621F9E">
      <w:pPr>
        <w:jc w:val="right"/>
      </w:pPr>
      <w:r>
        <w:t>к постановлению  администрации</w:t>
      </w:r>
    </w:p>
    <w:p w:rsidR="00621F9E" w:rsidRDefault="00621F9E" w:rsidP="00621F9E">
      <w:pPr>
        <w:jc w:val="right"/>
      </w:pPr>
      <w:r>
        <w:t>Тейковского муниципального района</w:t>
      </w:r>
    </w:p>
    <w:p w:rsidR="00621F9E" w:rsidRDefault="00621F9E" w:rsidP="00621F9E">
      <w:pPr>
        <w:jc w:val="center"/>
      </w:pPr>
      <w:r>
        <w:t xml:space="preserve">                                                                                                                    от   29.01.2018   №  73                                                                                                                                                                                                                         </w:t>
      </w:r>
    </w:p>
    <w:p w:rsidR="00621F9E" w:rsidRDefault="00621F9E" w:rsidP="00621F9E">
      <w:pPr>
        <w:pStyle w:val="ConsPlusTitle"/>
        <w:widowControl/>
        <w:jc w:val="both"/>
        <w:outlineLvl w:val="0"/>
        <w:rPr>
          <w:b w:val="0"/>
        </w:rPr>
      </w:pPr>
    </w:p>
    <w:p w:rsidR="00621F9E" w:rsidRDefault="00621F9E" w:rsidP="00621F9E">
      <w:pPr>
        <w:pStyle w:val="ConsPlusTitle"/>
        <w:widowControl/>
        <w:ind w:firstLine="360"/>
        <w:jc w:val="both"/>
        <w:outlineLvl w:val="0"/>
      </w:pPr>
    </w:p>
    <w:p w:rsidR="00621F9E" w:rsidRDefault="00621F9E" w:rsidP="00621F9E">
      <w:pPr>
        <w:pStyle w:val="a9"/>
        <w:ind w:firstLine="708"/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621F9E" w:rsidRDefault="00621F9E" w:rsidP="00621F9E">
      <w:pPr>
        <w:jc w:val="right"/>
      </w:pPr>
      <w:r>
        <w:t>тыс. руб.</w:t>
      </w: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3"/>
        <w:gridCol w:w="992"/>
        <w:gridCol w:w="992"/>
        <w:gridCol w:w="992"/>
        <w:gridCol w:w="993"/>
        <w:gridCol w:w="992"/>
        <w:gridCol w:w="992"/>
      </w:tblGrid>
      <w:tr w:rsidR="00621F9E" w:rsidTr="00621F9E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keepNext/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F9E" w:rsidTr="00621F9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9E" w:rsidRDefault="00621F9E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21F9E" w:rsidRDefault="00621F9E" w:rsidP="00621F9E"/>
    <w:p w:rsidR="00621F9E" w:rsidRDefault="00621F9E" w:rsidP="00621F9E">
      <w:pPr>
        <w:jc w:val="center"/>
      </w:pPr>
    </w:p>
    <w:p w:rsidR="00621F9E" w:rsidRDefault="00621F9E" w:rsidP="00621F9E"/>
    <w:p w:rsidR="00621F9E" w:rsidRDefault="00621F9E" w:rsidP="00621F9E"/>
    <w:p w:rsidR="00621F9E" w:rsidRDefault="00621F9E" w:rsidP="00621F9E"/>
    <w:p w:rsidR="00B653EA" w:rsidRDefault="00B653EA">
      <w:bookmarkStart w:id="0" w:name="_GoBack"/>
      <w:bookmarkEnd w:id="0"/>
    </w:p>
    <w:sectPr w:rsidR="00B6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B7"/>
    <w:rsid w:val="002B6AB7"/>
    <w:rsid w:val="00621F9E"/>
    <w:rsid w:val="00B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20D6-AAE1-4002-BB3C-3377067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621F9E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21F9E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621F9E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Body Text"/>
    <w:basedOn w:val="a"/>
    <w:link w:val="a4"/>
    <w:uiPriority w:val="1"/>
    <w:semiHidden/>
    <w:unhideWhenUsed/>
    <w:qFormat/>
    <w:rsid w:val="00621F9E"/>
    <w:pPr>
      <w:widowControl w:val="0"/>
      <w:ind w:left="101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21F9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621F9E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1F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F9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6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21F9E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621F9E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621F9E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621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621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21059</Characters>
  <Application>Microsoft Office Word</Application>
  <DocSecurity>0</DocSecurity>
  <Lines>175</Lines>
  <Paragraphs>49</Paragraphs>
  <ScaleCrop>false</ScaleCrop>
  <Company/>
  <LinksUpToDate>false</LinksUpToDate>
  <CharactersWithSpaces>24704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2018-02-02T13:44:00Z</dcterms:created>
  <dcterms:modified xsi:type="dcterms:W3CDTF">2018-02-02T13:44:00Z</dcterms:modified>
</cp:coreProperties>
</file>